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EBC9A" w14:textId="48C72EED" w:rsidR="003F582B" w:rsidRPr="003F582B" w:rsidRDefault="007C2017" w:rsidP="003F582B">
      <w:pPr>
        <w:pStyle w:val="author"/>
        <w:rPr>
          <w:b/>
          <w:sz w:val="28"/>
        </w:rPr>
      </w:pPr>
      <w:r>
        <w:rPr>
          <w:b/>
          <w:sz w:val="28"/>
        </w:rPr>
        <w:t>An Empirical Analysis on Customer Satisfaction in Takaful Products</w:t>
      </w:r>
    </w:p>
    <w:p w14:paraId="43873255" w14:textId="027102A3" w:rsidR="00510785" w:rsidRPr="003F582B" w:rsidRDefault="00325182" w:rsidP="00510785">
      <w:pPr>
        <w:pStyle w:val="author"/>
        <w:rPr>
          <w:vertAlign w:val="superscript"/>
        </w:rPr>
      </w:pPr>
      <w:r>
        <w:t>F</w:t>
      </w:r>
      <w:r w:rsidR="00CF28B8">
        <w:t>arah Hanan Muhamad</w:t>
      </w:r>
      <w:r w:rsidR="009B2539" w:rsidRPr="00EE426C">
        <w:rPr>
          <w:vertAlign w:val="superscript"/>
        </w:rPr>
        <w:t>1</w:t>
      </w:r>
      <w:r w:rsidR="009B2539">
        <w:rPr>
          <w:rStyle w:val="ORCID"/>
        </w:rPr>
        <w:t>[0000-</w:t>
      </w:r>
      <w:r w:rsidR="00CF28B8">
        <w:rPr>
          <w:rStyle w:val="ORCID"/>
        </w:rPr>
        <w:t>0001</w:t>
      </w:r>
      <w:r w:rsidR="009B2539">
        <w:rPr>
          <w:rStyle w:val="ORCID"/>
        </w:rPr>
        <w:t>-</w:t>
      </w:r>
      <w:r w:rsidR="00CF28B8">
        <w:rPr>
          <w:rStyle w:val="ORCID"/>
        </w:rPr>
        <w:t>688</w:t>
      </w:r>
      <w:r w:rsidR="009B2539">
        <w:rPr>
          <w:rStyle w:val="ORCID"/>
        </w:rPr>
        <w:t>2-</w:t>
      </w:r>
      <w:r w:rsidR="00CF28B8">
        <w:rPr>
          <w:rStyle w:val="ORCID"/>
        </w:rPr>
        <w:t>846X</w:t>
      </w:r>
      <w:r w:rsidR="009B2539">
        <w:rPr>
          <w:rStyle w:val="ORCID"/>
        </w:rPr>
        <w:t>]</w:t>
      </w:r>
      <w:r w:rsidR="00CF28B8">
        <w:t xml:space="preserve">, </w:t>
      </w:r>
      <w:proofErr w:type="spellStart"/>
      <w:r w:rsidR="00CF28B8">
        <w:t>Mohd</w:t>
      </w:r>
      <w:proofErr w:type="spellEnd"/>
      <w:r w:rsidR="00CF28B8">
        <w:t xml:space="preserve"> </w:t>
      </w:r>
      <w:proofErr w:type="spellStart"/>
      <w:r w:rsidR="00CF28B8">
        <w:t>Zulkifli</w:t>
      </w:r>
      <w:proofErr w:type="spellEnd"/>
      <w:r w:rsidR="00CF28B8">
        <w:t xml:space="preserve"> Muhammad</w:t>
      </w:r>
      <w:r w:rsidR="00CF28B8">
        <w:rPr>
          <w:vertAlign w:val="superscript"/>
        </w:rPr>
        <w:t>1</w:t>
      </w:r>
      <w:r w:rsidR="009B2539">
        <w:rPr>
          <w:rStyle w:val="ORCID"/>
        </w:rPr>
        <w:t>[</w:t>
      </w:r>
      <w:r w:rsidR="00CF28B8">
        <w:rPr>
          <w:rStyle w:val="ORCID"/>
        </w:rPr>
        <w:t>0000</w:t>
      </w:r>
      <w:r w:rsidR="009B2539">
        <w:rPr>
          <w:rStyle w:val="ORCID"/>
        </w:rPr>
        <w:t>-</w:t>
      </w:r>
      <w:r w:rsidR="00CF28B8">
        <w:rPr>
          <w:rStyle w:val="ORCID"/>
        </w:rPr>
        <w:t>0001</w:t>
      </w:r>
      <w:r w:rsidR="009B2539">
        <w:rPr>
          <w:rStyle w:val="ORCID"/>
        </w:rPr>
        <w:t>-</w:t>
      </w:r>
      <w:r w:rsidR="00CF28B8">
        <w:rPr>
          <w:rStyle w:val="ORCID"/>
        </w:rPr>
        <w:t>9700</w:t>
      </w:r>
      <w:r w:rsidR="009B2539">
        <w:rPr>
          <w:rStyle w:val="ORCID"/>
        </w:rPr>
        <w:t>-4</w:t>
      </w:r>
      <w:r w:rsidR="00CF28B8">
        <w:rPr>
          <w:rStyle w:val="ORCID"/>
        </w:rPr>
        <w:t>54X</w:t>
      </w:r>
      <w:r w:rsidR="009B2539">
        <w:rPr>
          <w:rStyle w:val="ORCID"/>
        </w:rPr>
        <w:t>]</w:t>
      </w:r>
      <w:r w:rsidR="00CF28B8">
        <w:rPr>
          <w:rStyle w:val="ORCID"/>
          <w:vertAlign w:val="baseline"/>
        </w:rPr>
        <w:t xml:space="preserve">, </w:t>
      </w:r>
      <w:proofErr w:type="spellStart"/>
      <w:r w:rsidR="00CF28B8">
        <w:rPr>
          <w:rStyle w:val="ORCID"/>
          <w:vertAlign w:val="baseline"/>
        </w:rPr>
        <w:t>Noorshella</w:t>
      </w:r>
      <w:proofErr w:type="spellEnd"/>
      <w:r w:rsidR="00CF28B8">
        <w:rPr>
          <w:rStyle w:val="ORCID"/>
          <w:vertAlign w:val="baseline"/>
        </w:rPr>
        <w:t xml:space="preserve"> Che Nawi</w:t>
      </w:r>
      <w:r w:rsidR="00CF28B8">
        <w:rPr>
          <w:rStyle w:val="ORCID"/>
        </w:rPr>
        <w:t>1[</w:t>
      </w:r>
      <w:r w:rsidR="00D74DA2">
        <w:rPr>
          <w:rStyle w:val="ORCID"/>
        </w:rPr>
        <w:t>0000-0001-9873-6398]</w:t>
      </w:r>
      <w:r w:rsidR="00D74DA2">
        <w:rPr>
          <w:rStyle w:val="ORCID"/>
          <w:vertAlign w:val="baseline"/>
        </w:rPr>
        <w:t xml:space="preserve">, </w:t>
      </w:r>
      <w:proofErr w:type="spellStart"/>
      <w:r w:rsidR="003F582B">
        <w:rPr>
          <w:rStyle w:val="ORCID"/>
          <w:vertAlign w:val="baseline"/>
        </w:rPr>
        <w:t>Norfazlirda</w:t>
      </w:r>
      <w:proofErr w:type="spellEnd"/>
      <w:r w:rsidR="003F582B">
        <w:rPr>
          <w:rStyle w:val="ORCID"/>
          <w:vertAlign w:val="baseline"/>
        </w:rPr>
        <w:t xml:space="preserve"> Hairani</w:t>
      </w:r>
      <w:r w:rsidR="00D74DA2">
        <w:rPr>
          <w:rStyle w:val="ORCID"/>
        </w:rPr>
        <w:t>1[0000-000</w:t>
      </w:r>
      <w:r w:rsidR="003F582B">
        <w:rPr>
          <w:rStyle w:val="ORCID"/>
        </w:rPr>
        <w:t>1</w:t>
      </w:r>
      <w:r w:rsidR="00D74DA2">
        <w:rPr>
          <w:rStyle w:val="ORCID"/>
        </w:rPr>
        <w:t>-</w:t>
      </w:r>
      <w:r w:rsidR="003F582B">
        <w:rPr>
          <w:rStyle w:val="ORCID"/>
        </w:rPr>
        <w:t>5345</w:t>
      </w:r>
      <w:r w:rsidR="00D74DA2">
        <w:rPr>
          <w:rStyle w:val="ORCID"/>
        </w:rPr>
        <w:t>-</w:t>
      </w:r>
      <w:r w:rsidR="003F582B">
        <w:rPr>
          <w:rStyle w:val="ORCID"/>
        </w:rPr>
        <w:t>4661]</w:t>
      </w:r>
      <w:r w:rsidR="003F582B">
        <w:rPr>
          <w:rStyle w:val="ORCID"/>
          <w:vertAlign w:val="baseline"/>
        </w:rPr>
        <w:t xml:space="preserve">, Wan </w:t>
      </w:r>
      <w:proofErr w:type="spellStart"/>
      <w:r w:rsidR="003F582B">
        <w:rPr>
          <w:rStyle w:val="ORCID"/>
          <w:vertAlign w:val="baseline"/>
        </w:rPr>
        <w:t>Arif</w:t>
      </w:r>
      <w:proofErr w:type="spellEnd"/>
      <w:r w:rsidR="003F582B">
        <w:rPr>
          <w:rStyle w:val="ORCID"/>
          <w:vertAlign w:val="baseline"/>
        </w:rPr>
        <w:t xml:space="preserve"> Wan Ahmad</w:t>
      </w:r>
      <w:r w:rsidR="003F582B">
        <w:rPr>
          <w:rStyle w:val="ORCID"/>
        </w:rPr>
        <w:t>2</w:t>
      </w:r>
    </w:p>
    <w:p w14:paraId="43873256" w14:textId="106CA34F" w:rsidR="00510785" w:rsidRDefault="009B2539" w:rsidP="00510785">
      <w:pPr>
        <w:pStyle w:val="address"/>
      </w:pPr>
      <w:r w:rsidRPr="00EE426C">
        <w:rPr>
          <w:vertAlign w:val="superscript"/>
        </w:rPr>
        <w:t>1</w:t>
      </w:r>
      <w:r w:rsidRPr="00EE426C">
        <w:t xml:space="preserve"> </w:t>
      </w:r>
      <w:r w:rsidR="00CF28B8">
        <w:t xml:space="preserve">University of Malaysia Kelantan, Jalan </w:t>
      </w:r>
      <w:proofErr w:type="spellStart"/>
      <w:r w:rsidR="00CF28B8">
        <w:t>Pengkalan</w:t>
      </w:r>
      <w:proofErr w:type="spellEnd"/>
      <w:r w:rsidR="00CF28B8">
        <w:t xml:space="preserve"> </w:t>
      </w:r>
      <w:proofErr w:type="spellStart"/>
      <w:r w:rsidR="00CF28B8">
        <w:t>Chepa</w:t>
      </w:r>
      <w:proofErr w:type="spellEnd"/>
      <w:r w:rsidR="00CF28B8">
        <w:t>, 16100 Kota Bharu, Kelantan</w:t>
      </w:r>
    </w:p>
    <w:p w14:paraId="32C1BAA8" w14:textId="3D460C4C" w:rsidR="002D31C8" w:rsidRPr="00EE426C" w:rsidRDefault="002D31C8" w:rsidP="00510785">
      <w:pPr>
        <w:pStyle w:val="address"/>
      </w:pPr>
      <w:r>
        <w:rPr>
          <w:rStyle w:val="e-mail"/>
        </w:rPr>
        <w:t>farahhanan@umk.edu.my</w:t>
      </w:r>
    </w:p>
    <w:p w14:paraId="25D9A270" w14:textId="48AA7976" w:rsidR="001E10DC" w:rsidRDefault="009B2539" w:rsidP="00515651">
      <w:pPr>
        <w:pStyle w:val="address"/>
      </w:pPr>
      <w:r w:rsidRPr="006809AE">
        <w:rPr>
          <w:vertAlign w:val="superscript"/>
        </w:rPr>
        <w:t>2</w:t>
      </w:r>
      <w:r w:rsidR="002D31C8">
        <w:t>International Shariah Research Academy (ISRA)</w:t>
      </w:r>
      <w:r w:rsidR="00D74DA2">
        <w:t>,</w:t>
      </w:r>
      <w:r w:rsidR="002D31C8">
        <w:t xml:space="preserve"> Lorong </w:t>
      </w:r>
      <w:proofErr w:type="spellStart"/>
      <w:r w:rsidR="002D31C8">
        <w:t>Universiti</w:t>
      </w:r>
      <w:proofErr w:type="spellEnd"/>
      <w:r w:rsidR="002D31C8">
        <w:t>,</w:t>
      </w:r>
      <w:r w:rsidR="00D74DA2">
        <w:t xml:space="preserve"> </w:t>
      </w:r>
      <w:r w:rsidR="002D31C8">
        <w:t>59100 Kuala Lumpur</w:t>
      </w:r>
      <w:r w:rsidRPr="006809AE">
        <w:br/>
      </w:r>
      <w:r w:rsidR="002D31C8">
        <w:rPr>
          <w:rStyle w:val="e-mail"/>
        </w:rPr>
        <w:t>wanarif@isra.my</w:t>
      </w:r>
    </w:p>
    <w:p w14:paraId="233A6C57" w14:textId="3B77F93F" w:rsidR="002D31C8" w:rsidRPr="00515651" w:rsidRDefault="001E10DC" w:rsidP="002D31C8">
      <w:pPr>
        <w:pStyle w:val="abstracticbt"/>
        <w:rPr>
          <w:b w:val="0"/>
          <w:bCs w:val="0"/>
          <w:szCs w:val="18"/>
        </w:rPr>
      </w:pPr>
      <w:r w:rsidRPr="00515651">
        <w:rPr>
          <w:szCs w:val="18"/>
        </w:rPr>
        <w:t>Abstract.</w:t>
      </w:r>
      <w:r w:rsidRPr="00515651">
        <w:rPr>
          <w:b w:val="0"/>
          <w:bCs w:val="0"/>
          <w:szCs w:val="18"/>
        </w:rPr>
        <w:t xml:space="preserve"> </w:t>
      </w:r>
      <w:r w:rsidR="002D31C8" w:rsidRPr="002D31C8">
        <w:rPr>
          <w:b w:val="0"/>
          <w:bCs w:val="0"/>
          <w:szCs w:val="18"/>
        </w:rPr>
        <w:t>Alongside its growing potential in Islamic banking, Malaysia is set to become a hub for takaful in the Asia region. The takaful industry in Malaysian market is placed as the top three in the world. The study aimed to explore</w:t>
      </w:r>
      <w:r w:rsidR="002D31C8" w:rsidRPr="002D31C8">
        <w:rPr>
          <w:b w:val="0"/>
          <w:bCs w:val="0"/>
          <w:spacing w:val="-9"/>
          <w:szCs w:val="18"/>
        </w:rPr>
        <w:t xml:space="preserve"> </w:t>
      </w:r>
      <w:r w:rsidR="002D31C8" w:rsidRPr="002D31C8">
        <w:rPr>
          <w:b w:val="0"/>
          <w:bCs w:val="0"/>
          <w:szCs w:val="18"/>
        </w:rPr>
        <w:t>whether</w:t>
      </w:r>
      <w:r w:rsidR="002D31C8" w:rsidRPr="002D31C8">
        <w:rPr>
          <w:b w:val="0"/>
          <w:bCs w:val="0"/>
          <w:spacing w:val="-9"/>
          <w:szCs w:val="18"/>
        </w:rPr>
        <w:t xml:space="preserve"> </w:t>
      </w:r>
      <w:r w:rsidR="002D31C8" w:rsidRPr="002D31C8">
        <w:rPr>
          <w:b w:val="0"/>
          <w:bCs w:val="0"/>
          <w:szCs w:val="18"/>
        </w:rPr>
        <w:t>technology,</w:t>
      </w:r>
      <w:r w:rsidR="002D31C8" w:rsidRPr="002D31C8">
        <w:rPr>
          <w:b w:val="0"/>
          <w:bCs w:val="0"/>
          <w:spacing w:val="-10"/>
          <w:szCs w:val="18"/>
        </w:rPr>
        <w:t xml:space="preserve"> </w:t>
      </w:r>
      <w:r w:rsidR="002D31C8" w:rsidRPr="002D31C8">
        <w:rPr>
          <w:b w:val="0"/>
          <w:bCs w:val="0"/>
          <w:szCs w:val="18"/>
        </w:rPr>
        <w:t>product</w:t>
      </w:r>
      <w:r w:rsidR="002D31C8" w:rsidRPr="002D31C8">
        <w:rPr>
          <w:b w:val="0"/>
          <w:bCs w:val="0"/>
          <w:spacing w:val="-10"/>
          <w:szCs w:val="18"/>
        </w:rPr>
        <w:t xml:space="preserve"> </w:t>
      </w:r>
      <w:r w:rsidR="002D31C8" w:rsidRPr="002D31C8">
        <w:rPr>
          <w:b w:val="0"/>
          <w:bCs w:val="0"/>
          <w:szCs w:val="18"/>
        </w:rPr>
        <w:t>offered,</w:t>
      </w:r>
      <w:r w:rsidR="002D31C8" w:rsidRPr="002D31C8">
        <w:rPr>
          <w:b w:val="0"/>
          <w:bCs w:val="0"/>
          <w:spacing w:val="-9"/>
          <w:szCs w:val="18"/>
        </w:rPr>
        <w:t xml:space="preserve"> </w:t>
      </w:r>
      <w:r w:rsidR="002D31C8" w:rsidRPr="002D31C8">
        <w:rPr>
          <w:b w:val="0"/>
          <w:bCs w:val="0"/>
          <w:szCs w:val="18"/>
        </w:rPr>
        <w:t>and</w:t>
      </w:r>
      <w:r w:rsidR="002D31C8" w:rsidRPr="002D31C8">
        <w:rPr>
          <w:b w:val="0"/>
          <w:bCs w:val="0"/>
          <w:spacing w:val="-10"/>
          <w:szCs w:val="18"/>
        </w:rPr>
        <w:t xml:space="preserve"> </w:t>
      </w:r>
      <w:r w:rsidR="002D31C8" w:rsidRPr="002D31C8">
        <w:rPr>
          <w:b w:val="0"/>
          <w:bCs w:val="0"/>
          <w:szCs w:val="18"/>
        </w:rPr>
        <w:t>consultancy</w:t>
      </w:r>
      <w:r w:rsidR="002D31C8" w:rsidRPr="002D31C8">
        <w:rPr>
          <w:b w:val="0"/>
          <w:bCs w:val="0"/>
          <w:spacing w:val="-8"/>
          <w:szCs w:val="18"/>
        </w:rPr>
        <w:t xml:space="preserve"> </w:t>
      </w:r>
      <w:r w:rsidR="002D31C8" w:rsidRPr="002D31C8">
        <w:rPr>
          <w:b w:val="0"/>
          <w:bCs w:val="0"/>
          <w:szCs w:val="18"/>
        </w:rPr>
        <w:t>have a</w:t>
      </w:r>
      <w:r w:rsidR="002D31C8" w:rsidRPr="002D31C8">
        <w:rPr>
          <w:b w:val="0"/>
          <w:bCs w:val="0"/>
          <w:spacing w:val="-9"/>
          <w:szCs w:val="18"/>
        </w:rPr>
        <w:t xml:space="preserve"> </w:t>
      </w:r>
      <w:r w:rsidR="002D31C8" w:rsidRPr="002D31C8">
        <w:rPr>
          <w:b w:val="0"/>
          <w:bCs w:val="0"/>
          <w:szCs w:val="18"/>
        </w:rPr>
        <w:t>significant</w:t>
      </w:r>
      <w:r w:rsidR="002D31C8" w:rsidRPr="002D31C8">
        <w:rPr>
          <w:b w:val="0"/>
          <w:bCs w:val="0"/>
          <w:spacing w:val="-11"/>
          <w:szCs w:val="18"/>
        </w:rPr>
        <w:t xml:space="preserve"> </w:t>
      </w:r>
      <w:r w:rsidR="002D31C8" w:rsidRPr="002D31C8">
        <w:rPr>
          <w:b w:val="0"/>
          <w:bCs w:val="0"/>
          <w:szCs w:val="18"/>
        </w:rPr>
        <w:t>relationship</w:t>
      </w:r>
      <w:r w:rsidR="002D31C8" w:rsidRPr="002D31C8">
        <w:rPr>
          <w:b w:val="0"/>
          <w:bCs w:val="0"/>
          <w:spacing w:val="-9"/>
          <w:szCs w:val="18"/>
        </w:rPr>
        <w:t xml:space="preserve"> </w:t>
      </w:r>
      <w:r w:rsidR="002D31C8" w:rsidRPr="002D31C8">
        <w:rPr>
          <w:b w:val="0"/>
          <w:bCs w:val="0"/>
          <w:szCs w:val="18"/>
        </w:rPr>
        <w:t>to customer</w:t>
      </w:r>
      <w:r w:rsidR="002D31C8" w:rsidRPr="002D31C8">
        <w:rPr>
          <w:b w:val="0"/>
          <w:bCs w:val="0"/>
          <w:spacing w:val="-10"/>
          <w:szCs w:val="18"/>
        </w:rPr>
        <w:t xml:space="preserve"> </w:t>
      </w:r>
      <w:r w:rsidR="002D31C8" w:rsidRPr="002D31C8">
        <w:rPr>
          <w:b w:val="0"/>
          <w:bCs w:val="0"/>
          <w:szCs w:val="18"/>
        </w:rPr>
        <w:t>satisfaction</w:t>
      </w:r>
      <w:r w:rsidR="002D31C8" w:rsidRPr="002D31C8">
        <w:rPr>
          <w:b w:val="0"/>
          <w:bCs w:val="0"/>
          <w:spacing w:val="-9"/>
          <w:szCs w:val="18"/>
        </w:rPr>
        <w:t xml:space="preserve"> </w:t>
      </w:r>
      <w:r w:rsidR="002D31C8" w:rsidRPr="002D31C8">
        <w:rPr>
          <w:b w:val="0"/>
          <w:bCs w:val="0"/>
          <w:szCs w:val="18"/>
        </w:rPr>
        <w:t>who</w:t>
      </w:r>
      <w:r w:rsidR="002D31C8" w:rsidRPr="002D31C8">
        <w:rPr>
          <w:b w:val="0"/>
          <w:bCs w:val="0"/>
          <w:spacing w:val="-10"/>
          <w:szCs w:val="18"/>
        </w:rPr>
        <w:t xml:space="preserve"> </w:t>
      </w:r>
      <w:r w:rsidR="002D31C8" w:rsidRPr="002D31C8">
        <w:rPr>
          <w:b w:val="0"/>
          <w:bCs w:val="0"/>
          <w:szCs w:val="18"/>
        </w:rPr>
        <w:t>purchased</w:t>
      </w:r>
      <w:r w:rsidR="002D31C8" w:rsidRPr="002D31C8">
        <w:rPr>
          <w:b w:val="0"/>
          <w:bCs w:val="0"/>
          <w:spacing w:val="-9"/>
          <w:szCs w:val="18"/>
        </w:rPr>
        <w:t xml:space="preserve"> </w:t>
      </w:r>
      <w:r w:rsidR="002D31C8" w:rsidRPr="002D31C8">
        <w:rPr>
          <w:b w:val="0"/>
          <w:bCs w:val="0"/>
          <w:szCs w:val="18"/>
        </w:rPr>
        <w:t>takaful</w:t>
      </w:r>
      <w:r w:rsidR="002D31C8" w:rsidRPr="002D31C8">
        <w:rPr>
          <w:b w:val="0"/>
          <w:bCs w:val="0"/>
          <w:spacing w:val="-12"/>
          <w:szCs w:val="18"/>
        </w:rPr>
        <w:t xml:space="preserve"> </w:t>
      </w:r>
      <w:r w:rsidR="002D31C8" w:rsidRPr="002D31C8">
        <w:rPr>
          <w:b w:val="0"/>
          <w:bCs w:val="0"/>
          <w:szCs w:val="18"/>
        </w:rPr>
        <w:t>products.</w:t>
      </w:r>
      <w:r w:rsidR="002D31C8" w:rsidRPr="002D31C8">
        <w:rPr>
          <w:b w:val="0"/>
          <w:bCs w:val="0"/>
          <w:spacing w:val="-10"/>
          <w:szCs w:val="18"/>
        </w:rPr>
        <w:t xml:space="preserve"> </w:t>
      </w:r>
      <w:r w:rsidR="002D31C8" w:rsidRPr="002D31C8">
        <w:rPr>
          <w:b w:val="0"/>
          <w:bCs w:val="0"/>
          <w:szCs w:val="18"/>
        </w:rPr>
        <w:t>The</w:t>
      </w:r>
      <w:r w:rsidR="002D31C8" w:rsidRPr="002D31C8">
        <w:rPr>
          <w:b w:val="0"/>
          <w:bCs w:val="0"/>
          <w:spacing w:val="-11"/>
          <w:szCs w:val="18"/>
        </w:rPr>
        <w:t xml:space="preserve"> </w:t>
      </w:r>
      <w:r w:rsidR="002D31C8" w:rsidRPr="002D31C8">
        <w:rPr>
          <w:b w:val="0"/>
          <w:bCs w:val="0"/>
          <w:szCs w:val="18"/>
        </w:rPr>
        <w:t>study</w:t>
      </w:r>
      <w:r w:rsidR="002D31C8" w:rsidRPr="002D31C8">
        <w:rPr>
          <w:b w:val="0"/>
          <w:bCs w:val="0"/>
          <w:spacing w:val="-9"/>
          <w:szCs w:val="18"/>
        </w:rPr>
        <w:t xml:space="preserve"> </w:t>
      </w:r>
      <w:r w:rsidR="002D31C8" w:rsidRPr="002D31C8">
        <w:rPr>
          <w:b w:val="0"/>
          <w:bCs w:val="0"/>
          <w:szCs w:val="18"/>
        </w:rPr>
        <w:t>had</w:t>
      </w:r>
      <w:r w:rsidR="002D31C8" w:rsidRPr="002D31C8">
        <w:rPr>
          <w:b w:val="0"/>
          <w:bCs w:val="0"/>
          <w:spacing w:val="-10"/>
          <w:szCs w:val="18"/>
        </w:rPr>
        <w:t xml:space="preserve"> </w:t>
      </w:r>
      <w:r w:rsidR="002D31C8" w:rsidRPr="002D31C8">
        <w:rPr>
          <w:b w:val="0"/>
          <w:bCs w:val="0"/>
          <w:szCs w:val="18"/>
        </w:rPr>
        <w:t>utilized</w:t>
      </w:r>
      <w:r w:rsidR="002D31C8" w:rsidRPr="002D31C8">
        <w:rPr>
          <w:b w:val="0"/>
          <w:bCs w:val="0"/>
          <w:spacing w:val="-11"/>
          <w:szCs w:val="18"/>
        </w:rPr>
        <w:t xml:space="preserve"> a </w:t>
      </w:r>
      <w:r w:rsidR="002D31C8" w:rsidRPr="002D31C8">
        <w:rPr>
          <w:b w:val="0"/>
          <w:bCs w:val="0"/>
          <w:szCs w:val="18"/>
        </w:rPr>
        <w:t>survey</w:t>
      </w:r>
      <w:r w:rsidR="002D31C8" w:rsidRPr="002D31C8">
        <w:rPr>
          <w:b w:val="0"/>
          <w:bCs w:val="0"/>
          <w:spacing w:val="-11"/>
          <w:szCs w:val="18"/>
        </w:rPr>
        <w:t xml:space="preserve"> </w:t>
      </w:r>
      <w:r w:rsidR="002D31C8" w:rsidRPr="002D31C8">
        <w:rPr>
          <w:b w:val="0"/>
          <w:bCs w:val="0"/>
          <w:szCs w:val="18"/>
        </w:rPr>
        <w:t>approach and</w:t>
      </w:r>
      <w:r w:rsidR="002D31C8" w:rsidRPr="002D31C8">
        <w:rPr>
          <w:b w:val="0"/>
          <w:bCs w:val="0"/>
          <w:spacing w:val="-4"/>
          <w:szCs w:val="18"/>
        </w:rPr>
        <w:t xml:space="preserve"> </w:t>
      </w:r>
      <w:r w:rsidR="002D31C8" w:rsidRPr="002D31C8">
        <w:rPr>
          <w:b w:val="0"/>
          <w:bCs w:val="0"/>
          <w:szCs w:val="18"/>
        </w:rPr>
        <w:t>took</w:t>
      </w:r>
      <w:r w:rsidR="002D31C8" w:rsidRPr="002D31C8">
        <w:rPr>
          <w:b w:val="0"/>
          <w:bCs w:val="0"/>
          <w:spacing w:val="-3"/>
          <w:szCs w:val="18"/>
        </w:rPr>
        <w:t xml:space="preserve"> </w:t>
      </w:r>
      <w:r w:rsidR="002D31C8" w:rsidRPr="002D31C8">
        <w:rPr>
          <w:b w:val="0"/>
          <w:bCs w:val="0"/>
          <w:szCs w:val="18"/>
        </w:rPr>
        <w:t>a</w:t>
      </w:r>
      <w:r w:rsidR="002D31C8" w:rsidRPr="002D31C8">
        <w:rPr>
          <w:b w:val="0"/>
          <w:bCs w:val="0"/>
          <w:spacing w:val="-2"/>
          <w:szCs w:val="18"/>
        </w:rPr>
        <w:t xml:space="preserve"> </w:t>
      </w:r>
      <w:r w:rsidR="002D31C8" w:rsidRPr="002D31C8">
        <w:rPr>
          <w:b w:val="0"/>
          <w:bCs w:val="0"/>
          <w:szCs w:val="18"/>
        </w:rPr>
        <w:t>sample</w:t>
      </w:r>
      <w:r w:rsidR="002D31C8" w:rsidRPr="002D31C8">
        <w:rPr>
          <w:b w:val="0"/>
          <w:bCs w:val="0"/>
          <w:spacing w:val="-4"/>
          <w:szCs w:val="18"/>
        </w:rPr>
        <w:t xml:space="preserve"> </w:t>
      </w:r>
      <w:r w:rsidR="002D31C8" w:rsidRPr="002D31C8">
        <w:rPr>
          <w:b w:val="0"/>
          <w:bCs w:val="0"/>
          <w:szCs w:val="18"/>
        </w:rPr>
        <w:t>of</w:t>
      </w:r>
      <w:r w:rsidR="002D31C8" w:rsidRPr="002D31C8">
        <w:rPr>
          <w:b w:val="0"/>
          <w:bCs w:val="0"/>
          <w:spacing w:val="-3"/>
          <w:szCs w:val="18"/>
        </w:rPr>
        <w:t xml:space="preserve"> </w:t>
      </w:r>
      <w:r w:rsidR="002D31C8" w:rsidRPr="002D31C8">
        <w:rPr>
          <w:b w:val="0"/>
          <w:bCs w:val="0"/>
          <w:szCs w:val="18"/>
        </w:rPr>
        <w:t>150</w:t>
      </w:r>
      <w:r w:rsidR="002D31C8" w:rsidRPr="002D31C8">
        <w:rPr>
          <w:b w:val="0"/>
          <w:bCs w:val="0"/>
          <w:spacing w:val="-3"/>
          <w:szCs w:val="18"/>
        </w:rPr>
        <w:t xml:space="preserve"> </w:t>
      </w:r>
      <w:r w:rsidR="002D31C8" w:rsidRPr="002D31C8">
        <w:rPr>
          <w:b w:val="0"/>
          <w:bCs w:val="0"/>
          <w:szCs w:val="18"/>
        </w:rPr>
        <w:t>respondents among the community in</w:t>
      </w:r>
      <w:r w:rsidR="002D31C8" w:rsidRPr="002D31C8">
        <w:rPr>
          <w:b w:val="0"/>
          <w:bCs w:val="0"/>
          <w:spacing w:val="-1"/>
          <w:szCs w:val="18"/>
        </w:rPr>
        <w:t xml:space="preserve"> </w:t>
      </w:r>
      <w:r w:rsidR="002D31C8" w:rsidRPr="002D31C8">
        <w:rPr>
          <w:b w:val="0"/>
          <w:bCs w:val="0"/>
          <w:szCs w:val="18"/>
        </w:rPr>
        <w:t>Kelantan.</w:t>
      </w:r>
      <w:r w:rsidR="002D31C8" w:rsidRPr="002D31C8">
        <w:rPr>
          <w:b w:val="0"/>
          <w:bCs w:val="0"/>
          <w:spacing w:val="-3"/>
          <w:szCs w:val="18"/>
        </w:rPr>
        <w:t xml:space="preserve"> </w:t>
      </w:r>
      <w:r w:rsidR="002D31C8" w:rsidRPr="002D31C8">
        <w:rPr>
          <w:b w:val="0"/>
          <w:bCs w:val="0"/>
          <w:szCs w:val="18"/>
        </w:rPr>
        <w:t>The</w:t>
      </w:r>
      <w:r w:rsidR="002D31C8" w:rsidRPr="002D31C8">
        <w:rPr>
          <w:b w:val="0"/>
          <w:bCs w:val="0"/>
          <w:spacing w:val="-4"/>
          <w:szCs w:val="18"/>
        </w:rPr>
        <w:t xml:space="preserve"> </w:t>
      </w:r>
      <w:r w:rsidR="002D31C8" w:rsidRPr="002D31C8">
        <w:rPr>
          <w:b w:val="0"/>
          <w:bCs w:val="0"/>
          <w:szCs w:val="18"/>
        </w:rPr>
        <w:t>results</w:t>
      </w:r>
      <w:r w:rsidR="002D31C8" w:rsidRPr="002D31C8">
        <w:rPr>
          <w:b w:val="0"/>
          <w:bCs w:val="0"/>
          <w:spacing w:val="-2"/>
          <w:szCs w:val="18"/>
        </w:rPr>
        <w:t xml:space="preserve"> </w:t>
      </w:r>
      <w:r w:rsidR="002D31C8" w:rsidRPr="002D31C8">
        <w:rPr>
          <w:b w:val="0"/>
          <w:bCs w:val="0"/>
          <w:szCs w:val="18"/>
        </w:rPr>
        <w:t>indicated</w:t>
      </w:r>
      <w:r w:rsidR="002D31C8" w:rsidRPr="002D31C8">
        <w:rPr>
          <w:b w:val="0"/>
          <w:bCs w:val="0"/>
          <w:spacing w:val="-5"/>
          <w:szCs w:val="18"/>
        </w:rPr>
        <w:t xml:space="preserve"> </w:t>
      </w:r>
      <w:r w:rsidR="002D31C8" w:rsidRPr="002D31C8">
        <w:rPr>
          <w:b w:val="0"/>
          <w:bCs w:val="0"/>
          <w:szCs w:val="18"/>
        </w:rPr>
        <w:t>that</w:t>
      </w:r>
      <w:r w:rsidR="002D31C8" w:rsidRPr="002D31C8">
        <w:rPr>
          <w:b w:val="0"/>
          <w:bCs w:val="0"/>
          <w:spacing w:val="-2"/>
          <w:szCs w:val="18"/>
        </w:rPr>
        <w:t xml:space="preserve"> </w:t>
      </w:r>
      <w:r w:rsidR="002D31C8" w:rsidRPr="002D31C8">
        <w:rPr>
          <w:b w:val="0"/>
          <w:bCs w:val="0"/>
          <w:szCs w:val="18"/>
        </w:rPr>
        <w:t xml:space="preserve">products offered </w:t>
      </w:r>
      <w:r w:rsidR="002D31C8" w:rsidRPr="002D31C8">
        <w:rPr>
          <w:b w:val="0"/>
          <w:bCs w:val="0"/>
          <w:spacing w:val="-5"/>
          <w:szCs w:val="18"/>
        </w:rPr>
        <w:t>and</w:t>
      </w:r>
      <w:r w:rsidR="002D31C8" w:rsidRPr="002D31C8">
        <w:rPr>
          <w:b w:val="0"/>
          <w:bCs w:val="0"/>
          <w:spacing w:val="-4"/>
          <w:szCs w:val="18"/>
        </w:rPr>
        <w:t xml:space="preserve"> </w:t>
      </w:r>
      <w:r w:rsidR="002D31C8" w:rsidRPr="002D31C8">
        <w:rPr>
          <w:b w:val="0"/>
          <w:bCs w:val="0"/>
          <w:szCs w:val="18"/>
        </w:rPr>
        <w:t>consultancy</w:t>
      </w:r>
      <w:r w:rsidR="002D31C8" w:rsidRPr="002D31C8">
        <w:rPr>
          <w:b w:val="0"/>
          <w:bCs w:val="0"/>
          <w:spacing w:val="-5"/>
          <w:szCs w:val="18"/>
        </w:rPr>
        <w:t xml:space="preserve"> </w:t>
      </w:r>
      <w:r w:rsidR="002D31C8" w:rsidRPr="002D31C8">
        <w:rPr>
          <w:b w:val="0"/>
          <w:bCs w:val="0"/>
          <w:szCs w:val="18"/>
        </w:rPr>
        <w:t>have a</w:t>
      </w:r>
      <w:r w:rsidR="002D31C8" w:rsidRPr="002D31C8">
        <w:rPr>
          <w:b w:val="0"/>
          <w:bCs w:val="0"/>
          <w:spacing w:val="-4"/>
          <w:szCs w:val="18"/>
        </w:rPr>
        <w:t xml:space="preserve"> </w:t>
      </w:r>
      <w:r w:rsidR="002D31C8" w:rsidRPr="002D31C8">
        <w:rPr>
          <w:b w:val="0"/>
          <w:bCs w:val="0"/>
          <w:szCs w:val="18"/>
        </w:rPr>
        <w:t>strong</w:t>
      </w:r>
      <w:r w:rsidR="002D31C8" w:rsidRPr="002D31C8">
        <w:rPr>
          <w:b w:val="0"/>
          <w:bCs w:val="0"/>
          <w:spacing w:val="-5"/>
          <w:szCs w:val="18"/>
        </w:rPr>
        <w:t xml:space="preserve"> </w:t>
      </w:r>
      <w:r w:rsidR="002D31C8" w:rsidRPr="002D31C8">
        <w:rPr>
          <w:b w:val="0"/>
          <w:bCs w:val="0"/>
          <w:szCs w:val="18"/>
        </w:rPr>
        <w:t>positive</w:t>
      </w:r>
      <w:r w:rsidR="002D31C8" w:rsidRPr="002D31C8">
        <w:rPr>
          <w:b w:val="0"/>
          <w:bCs w:val="0"/>
          <w:spacing w:val="-3"/>
          <w:szCs w:val="18"/>
        </w:rPr>
        <w:t xml:space="preserve"> </w:t>
      </w:r>
      <w:r w:rsidR="002D31C8" w:rsidRPr="002D31C8">
        <w:rPr>
          <w:b w:val="0"/>
          <w:bCs w:val="0"/>
          <w:szCs w:val="18"/>
        </w:rPr>
        <w:t>relationship</w:t>
      </w:r>
      <w:r w:rsidR="002D31C8" w:rsidRPr="002D31C8">
        <w:rPr>
          <w:b w:val="0"/>
          <w:bCs w:val="0"/>
          <w:spacing w:val="-5"/>
          <w:szCs w:val="18"/>
        </w:rPr>
        <w:t xml:space="preserve"> </w:t>
      </w:r>
      <w:r w:rsidR="002D31C8" w:rsidRPr="002D31C8">
        <w:rPr>
          <w:b w:val="0"/>
          <w:bCs w:val="0"/>
          <w:szCs w:val="18"/>
        </w:rPr>
        <w:t>with</w:t>
      </w:r>
      <w:r w:rsidR="002D31C8" w:rsidRPr="002D31C8">
        <w:rPr>
          <w:b w:val="0"/>
          <w:bCs w:val="0"/>
          <w:spacing w:val="-4"/>
          <w:szCs w:val="18"/>
        </w:rPr>
        <w:t xml:space="preserve"> </w:t>
      </w:r>
      <w:r w:rsidR="002D31C8" w:rsidRPr="002D31C8">
        <w:rPr>
          <w:b w:val="0"/>
          <w:bCs w:val="0"/>
          <w:szCs w:val="18"/>
        </w:rPr>
        <w:t>customer</w:t>
      </w:r>
      <w:r w:rsidR="002D31C8" w:rsidRPr="002D31C8">
        <w:rPr>
          <w:b w:val="0"/>
          <w:bCs w:val="0"/>
          <w:spacing w:val="-3"/>
          <w:szCs w:val="18"/>
        </w:rPr>
        <w:t xml:space="preserve"> </w:t>
      </w:r>
      <w:r w:rsidR="002D31C8" w:rsidRPr="002D31C8">
        <w:rPr>
          <w:b w:val="0"/>
          <w:bCs w:val="0"/>
          <w:szCs w:val="18"/>
        </w:rPr>
        <w:t>satisfaction while technology had shown a moderate positive relationship with customer</w:t>
      </w:r>
      <w:r w:rsidR="002D31C8" w:rsidRPr="002D31C8">
        <w:rPr>
          <w:b w:val="0"/>
          <w:bCs w:val="0"/>
          <w:spacing w:val="-4"/>
          <w:szCs w:val="18"/>
        </w:rPr>
        <w:t xml:space="preserve"> </w:t>
      </w:r>
      <w:r w:rsidR="002D31C8" w:rsidRPr="002D31C8">
        <w:rPr>
          <w:b w:val="0"/>
          <w:bCs w:val="0"/>
          <w:szCs w:val="18"/>
        </w:rPr>
        <w:t>satisfaction.</w:t>
      </w:r>
    </w:p>
    <w:p w14:paraId="43873259" w14:textId="5FD0B5E8" w:rsidR="00510785" w:rsidRPr="00D74DA2" w:rsidRDefault="009B2539" w:rsidP="00D74DA2">
      <w:pPr>
        <w:pStyle w:val="BodyText"/>
        <w:spacing w:line="360" w:lineRule="auto"/>
        <w:ind w:left="340" w:right="1152" w:firstLine="227"/>
        <w:jc w:val="both"/>
        <w:rPr>
          <w:sz w:val="18"/>
          <w:szCs w:val="18"/>
        </w:rPr>
      </w:pPr>
      <w:r w:rsidRPr="00515651">
        <w:rPr>
          <w:b/>
          <w:bCs/>
          <w:sz w:val="18"/>
          <w:szCs w:val="18"/>
        </w:rPr>
        <w:t>Keywords:</w:t>
      </w:r>
      <w:r w:rsidR="001F3745">
        <w:rPr>
          <w:b/>
          <w:bCs/>
          <w:sz w:val="18"/>
          <w:szCs w:val="18"/>
        </w:rPr>
        <w:t xml:space="preserve"> </w:t>
      </w:r>
      <w:r w:rsidR="002D31C8">
        <w:rPr>
          <w:sz w:val="18"/>
          <w:szCs w:val="18"/>
        </w:rPr>
        <w:t>Takaful Industry,</w:t>
      </w:r>
      <w:r w:rsidR="001F3745">
        <w:rPr>
          <w:sz w:val="18"/>
          <w:szCs w:val="18"/>
        </w:rPr>
        <w:t xml:space="preserve"> </w:t>
      </w:r>
      <w:r w:rsidR="002D31C8">
        <w:rPr>
          <w:sz w:val="18"/>
          <w:szCs w:val="18"/>
        </w:rPr>
        <w:t>Technology, Product</w:t>
      </w:r>
      <w:r w:rsidR="001F3745">
        <w:rPr>
          <w:sz w:val="18"/>
          <w:szCs w:val="18"/>
        </w:rPr>
        <w:t xml:space="preserve"> </w:t>
      </w:r>
      <w:proofErr w:type="spellStart"/>
      <w:proofErr w:type="gramStart"/>
      <w:r w:rsidR="002D31C8">
        <w:rPr>
          <w:sz w:val="18"/>
          <w:szCs w:val="18"/>
        </w:rPr>
        <w:t>Offered,Consultancy</w:t>
      </w:r>
      <w:proofErr w:type="spellEnd"/>
      <w:proofErr w:type="gramEnd"/>
      <w:r w:rsidR="002D31C8">
        <w:rPr>
          <w:sz w:val="18"/>
          <w:szCs w:val="18"/>
        </w:rPr>
        <w:t>.</w:t>
      </w:r>
    </w:p>
    <w:p w14:paraId="4387325B" w14:textId="5D039753" w:rsidR="00510785" w:rsidRPr="006809AE" w:rsidRDefault="00515651" w:rsidP="00515651">
      <w:pPr>
        <w:pStyle w:val="heading1"/>
      </w:pPr>
      <w:r>
        <w:t xml:space="preserve">Introduction </w:t>
      </w:r>
    </w:p>
    <w:p w14:paraId="3EFA5214" w14:textId="77777777" w:rsidR="002D31C8" w:rsidRDefault="002D31C8" w:rsidP="002D31C8">
      <w:pPr>
        <w:ind w:firstLine="0"/>
      </w:pPr>
      <w:r>
        <w:t xml:space="preserve">Takaful, also known as Islamic insurance, is an alternative to its opponent, conventional insurance. Alongside its growing potential in Islamic banking, Malaysia is set to become a hub for takaful in the Asia region. Currently, this country is ranked the top three in the world for rising penetration rate in takaful industry </w:t>
      </w:r>
      <w:r>
        <w:fldChar w:fldCharType="begin" w:fldLock="1"/>
      </w:r>
      <w:r>
        <w:instrText>ADDIN CSL_CITATION {"citationItems":[{"id":"ITEM-1","itemData":{"author":[{"dropping-particle":"","family":"Asia Advisers Network","given":"","non-dropping-particle":"","parse-names":false,"suffix":""}],"container-title":"Asia Adviders Network","id":"ITEM-1","issued":{"date-parts":[["2019"]]},"title":"Takaful prospects bright in Malaysia and Indonesia","type":"article-magazine"},"uris":["http://www.mendeley.com/documents/?uuid=db50fcd9-c4fa-4399-8c66-dfb9d9e605a5"]}],"mendeley":{"formattedCitation":"(Asia Advisers Network, 2019)","plainTextFormattedCitation":"(Asia Advisers Network, 2019)","previouslyFormattedCitation":"(Asia Advisers Network, 2019)"},"properties":{"noteIndex":0},"schema":"https://github.com/citation-style-language/schema/raw/master/csl-citation.json"}</w:instrText>
      </w:r>
      <w:r>
        <w:fldChar w:fldCharType="separate"/>
      </w:r>
      <w:r>
        <w:rPr>
          <w:noProof/>
        </w:rPr>
        <w:t>(Asia Advisers Network, 2019)</w:t>
      </w:r>
      <w:r>
        <w:fldChar w:fldCharType="end"/>
      </w:r>
      <w:r>
        <w:t>. Despite so, the number of terminations has an uptrend chart which has become a concern to many takaful operators. According to Bank Negara Malaysia, for half year statistic in 2017, 2018 and 2019; the number of annual contributions of terminated certificates</w:t>
      </w:r>
      <w:r>
        <w:rPr>
          <w:spacing w:val="-17"/>
        </w:rPr>
        <w:t xml:space="preserve"> </w:t>
      </w:r>
      <w:r>
        <w:t>in</w:t>
      </w:r>
      <w:r>
        <w:rPr>
          <w:spacing w:val="-17"/>
        </w:rPr>
        <w:t xml:space="preserve"> </w:t>
      </w:r>
      <w:r>
        <w:t>family</w:t>
      </w:r>
      <w:r>
        <w:rPr>
          <w:spacing w:val="-16"/>
        </w:rPr>
        <w:t xml:space="preserve"> </w:t>
      </w:r>
      <w:r>
        <w:t>takaful</w:t>
      </w:r>
      <w:r>
        <w:rPr>
          <w:spacing w:val="-15"/>
        </w:rPr>
        <w:t xml:space="preserve"> </w:t>
      </w:r>
      <w:r>
        <w:t>within</w:t>
      </w:r>
      <w:r>
        <w:rPr>
          <w:spacing w:val="-16"/>
        </w:rPr>
        <w:t xml:space="preserve"> </w:t>
      </w:r>
      <w:r>
        <w:t>local</w:t>
      </w:r>
      <w:r>
        <w:rPr>
          <w:spacing w:val="-16"/>
        </w:rPr>
        <w:t xml:space="preserve"> </w:t>
      </w:r>
      <w:r>
        <w:t>takaful</w:t>
      </w:r>
      <w:r>
        <w:rPr>
          <w:spacing w:val="-16"/>
        </w:rPr>
        <w:t xml:space="preserve"> </w:t>
      </w:r>
      <w:r>
        <w:t>operators</w:t>
      </w:r>
      <w:r>
        <w:rPr>
          <w:spacing w:val="-14"/>
        </w:rPr>
        <w:t xml:space="preserve"> </w:t>
      </w:r>
      <w:r>
        <w:t>was</w:t>
      </w:r>
      <w:r>
        <w:rPr>
          <w:spacing w:val="-16"/>
        </w:rPr>
        <w:t xml:space="preserve"> </w:t>
      </w:r>
      <w:r>
        <w:t>RM107.1</w:t>
      </w:r>
      <w:r>
        <w:rPr>
          <w:spacing w:val="-16"/>
        </w:rPr>
        <w:t xml:space="preserve"> </w:t>
      </w:r>
      <w:r>
        <w:t>million,</w:t>
      </w:r>
      <w:r>
        <w:rPr>
          <w:spacing w:val="-17"/>
        </w:rPr>
        <w:t xml:space="preserve"> </w:t>
      </w:r>
      <w:r>
        <w:t>RM141.8</w:t>
      </w:r>
      <w:r>
        <w:rPr>
          <w:spacing w:val="-15"/>
        </w:rPr>
        <w:t xml:space="preserve"> </w:t>
      </w:r>
      <w:r>
        <w:t xml:space="preserve">million and RM164.8 million respectively. </w:t>
      </w:r>
    </w:p>
    <w:p w14:paraId="339C9291" w14:textId="798FEAB8" w:rsidR="002D31C8" w:rsidRDefault="002D31C8" w:rsidP="002D31C8">
      <w:r>
        <w:t xml:space="preserve">One of the signs of weaken economic is probably due to sluggish growth in consumer confidence among Malaysian which has dropped by 14.5% from 23.5% </w:t>
      </w:r>
      <w:r>
        <w:fldChar w:fldCharType="begin" w:fldLock="1"/>
      </w:r>
      <w:r>
        <w:instrText>ADDIN CSL_CITATION {"citationItems":[{"id":"ITEM-1","itemData":{"URL":"https://www.ceicdata.com/en/indicator/malaysia/consumer-confidence-net-balance.","author":[{"dropping-particle":"","family":"CEIC","given":"","non-dropping-particle":"","parse-names":false,"suffix":""}],"id":"ITEM-1","issued":{"date-parts":[["2019"]]},"title":"Malaysia consumer confidence growth","type":"webpage"},"uris":["http://www.mendeley.com/documents/?uuid=fa8537d4-8a18-42e2-8082-2039ae714222"]}],"mendeley":{"formattedCitation":"(CEIC, 2019)","plainTextFormattedCitation":"(CEIC, 2019)","previouslyFormattedCitation":"(CEIC, 2019)"},"properties":{"noteIndex":0},"schema":"https://github.com/citation-style-language/schema/raw/master/csl-citation.json"}</w:instrText>
      </w:r>
      <w:r>
        <w:fldChar w:fldCharType="separate"/>
      </w:r>
      <w:r>
        <w:rPr>
          <w:noProof/>
        </w:rPr>
        <w:t>(CEIC, 2019)</w:t>
      </w:r>
      <w:r>
        <w:fldChar w:fldCharType="end"/>
      </w:r>
      <w:r>
        <w:t xml:space="preserve">. Truth be told, “about 42% of Malaysian population is insured, regardless of the kind of insurance they have, leaving the other 58% of the population is still uninsured” </w:t>
      </w:r>
      <w:r>
        <w:fldChar w:fldCharType="begin" w:fldLock="1"/>
      </w:r>
      <w:r>
        <w:instrText>ADDIN CSL_CITATION {"citationItems":[{"id":"ITEM-1","itemData":{"DOI":"10.1016/s2212-5671(16)30137-x","ISSN":"22125671","abstract":"The last 20 years has seen a drastic increase in the cost of living in Malaysia. This scenario highlighted the value of acquiring proper financial management scheme that will enable the Malaysian citizen to enjoy their retirement years comfortably. Past research revealed that there is lack of understanding and awareness of having life insurance or Takaful plan. Furthermore, since 2014, there has been an increase in fees for medical consultation and procedures. This explains the importance for an individual to be insured, regardless of whether it is through conventional life insurance or Takaful. Having an insurance policy will not only reduce the retirement gap, but it will also help Malaysians to secure financial security for their family and also in meeting outstanding financial obligations. This study hopes to determine the perception of public university's staff in acquire a life insurance or Takaful using self administered survey. Thus, the main objective of this paper is to determine the factors that may influence the staff of public universities to purchase or not purchase a conventional life insurance or TAKAFUL policy. Data collected was analysed using Correlation and Multiple Regression analysis.","author":[{"dropping-particle":"","family":"Zakaria","given":"Zainuddin","non-dropping-particle":"","parse-names":false,"suffix":""},{"dropping-particle":"","family":"Azmi","given":"Nurul Marina","non-dropping-particle":"","parse-names":false,"suffix":""},{"dropping-particle":"","family":"Hassan","given":"Nik Fakrul Hazri Nik","non-dropping-particle":"","parse-names":false,"suffix":""},{"dropping-particle":"","family":"Salleh","given":"Wan Anisabanum","non-dropping-particle":"","parse-names":false,"suffix":""},{"dropping-particle":"","family":"Tajuddin","given":"Mohd Tajul Hasnan Mohd","non-dropping-particle":"","parse-names":false,"suffix":""},{"dropping-particle":"","family":"Sallem","given":"Nur Raihana Mohd","non-dropping-particle":"","parse-names":false,"suffix":""},{"dropping-particle":"","family":"Noor","given":"Jannah Munirah Mohd","non-dropping-particle":"","parse-names":false,"suffix":""}],"container-title":"Procedia Economics and Finance","id":"ITEM-1","issue":"16","issued":{"date-parts":[["2016"]]},"page":"358-365","publisher":"Elsevier B.V.","title":"The Intention to Purchase Life Insurance: A Case Study of Staff in Public Universities","type":"article-journal","volume":"37"},"uris":["http://www.mendeley.com/documents/?uuid=cb570154-66cf-495e-9852-aac4a0e8e9f9"]}],"mendeley":{"formattedCitation":"(Zakaria et al., 2016)","plainTextFormattedCitation":"(Zakaria et al., 2016)","previouslyFormattedCitation":"(Zakaria et al., 2016)"},"properties":{"noteIndex":0},"schema":"https://github.com/citation-style-language/schema/raw/master/csl-citation.json"}</w:instrText>
      </w:r>
      <w:r>
        <w:fldChar w:fldCharType="separate"/>
      </w:r>
      <w:r>
        <w:rPr>
          <w:noProof/>
        </w:rPr>
        <w:t>(Zakaria et al., 2016)</w:t>
      </w:r>
      <w:r>
        <w:fldChar w:fldCharType="end"/>
      </w:r>
      <w:r>
        <w:t xml:space="preserve">. By referring to the report published in </w:t>
      </w:r>
      <w:r>
        <w:fldChar w:fldCharType="begin" w:fldLock="1"/>
      </w:r>
      <w:r>
        <w:instrText>ADDIN CSL_CITATION {"citationItems":[{"id":"ITEM-1","itemData":{"abstract":"The insurance and takaful sector continued to show positive growth in 2016. Total premiums and contributions increased by 4.4% to RM61.3 billion (2015: +4% to RM58.7 billion), while combined insurance and takaful assets expanded by 5% to RM277 billion (2015: +5.7% to RM263.8 billion). Growth has continued to be supported by strong overall capitalisation. The industry's aggregate capital adequacy ratio (CAR) stood at 243.9% as at end-2016, with surplus capital above the regulatory minimum of 130% increasing further to RM37.9 billion (2015: RM36.4 billion). Total premiums and contributions of the insurance and takaful sector increased by 4.4% while assets expanded by 5% There were 55 insurers and takaful operators, including reinsurers and retakaful operators, in the industry as at end-2016 (Table 3.1 and Table 3.2). Over the past five years, this number has reduced from 60 as a result of mergers and acquisitions, mostly among general insurers, to improve resilience and gain efficiencies in scale. The total number of approved insurance and takaful brokers and financial advisers stood at 56. A further 54 loss adjusters are registered under the Financial Services Act 2013, mainly active in assessments of motor and fire-related claims.","author":[{"dropping-particle":"","family":"Financial Stability and Payment System Report","given":"","non-dropping-particle":"","parse-names":false,"suffix":""}],"container-title":"Insurance and Takaful Sector","id":"ITEM-1","issued":{"date-parts":[["2016"]]},"number-of-pages":"69-83","title":"Performance of the Insurance and Takaful Sector","type":"report"},"uris":["http://www.mendeley.com/documents/?uuid=d01fd2bb-6cf0-4094-9a2c-228eb27801e3"]}],"mendeley":{"formattedCitation":"(Financial Stability and Payment System Report, 2016)","manualFormatting":"Financial Stability and Payment System Report (2016)","plainTextFormattedCitation":"(Financial Stability and Payment System Report, 2016)","previouslyFormattedCitation":"(Financial Stability and Payment System Report, 2016)"},"properties":{"noteIndex":0},"schema":"https://github.com/citation-style-language/schema/raw/master/csl-citation.json"}</w:instrText>
      </w:r>
      <w:r>
        <w:fldChar w:fldCharType="separate"/>
      </w:r>
      <w:r>
        <w:rPr>
          <w:noProof/>
        </w:rPr>
        <w:t>Financial Stability and Payment System Report (2016)</w:t>
      </w:r>
      <w:r>
        <w:fldChar w:fldCharType="end"/>
      </w:r>
      <w:r>
        <w:t xml:space="preserve">, it is stated that agency productivity has been declining which was proven by the fact that 80% of agents are only capable to sell less than two policies </w:t>
      </w:r>
      <w:r>
        <w:lastRenderedPageBreak/>
        <w:t xml:space="preserve">in a month even for the experienced agents. More than half can only sell less than one policy per month. Uncertain changes in economic wellbeing will also stimulate decision making of a customer, thus, every takaful industry needs to compete with one another to ascertain prospects with the best product quality offered and great services provided. </w:t>
      </w:r>
    </w:p>
    <w:p w14:paraId="21CBDD5F" w14:textId="77777777" w:rsidR="002D31C8" w:rsidRDefault="002D31C8" w:rsidP="002D31C8">
      <w:r>
        <w:t xml:space="preserve">The success of service company lies to the customer’s satisfaction </w:t>
      </w:r>
      <w:r>
        <w:fldChar w:fldCharType="begin" w:fldLock="1"/>
      </w:r>
      <w:r>
        <w:instrText>ADDIN CSL_CITATION {"citationItems":[{"id":"ITEM-1","itemData":{"DOI":"10.1108/IJBM-10-2017-0222","ISSN":"02652323","abstract":"Purpose: Financial service workers’ etiquette and creativity have been less mentioned in the research on bank marketing. The purpose of this paper is to examine the mediating effects of financial service workers’ etiquette and creativity on the relationship between customer orientation and customer satisfaction. Design/methodology/approach: Data are collected from 336 insurance customers in Taiwan, and partial least squares analysis is used to test the hypotheses. Findings: The findings show that financial service workers’ customer orientation (perceived by customers) is positively related to the customers’ perception of financial service workers’ etiquette and creativity. Moreover, it is found that the financial service workers’ etiquette and creativity partially mediate the relationship between customer orientation and customer satisfaction. Originality/value: This is the first study to highlight the roles that financial service workers’ etiquette and creativity play in the relationship between customer orientation and customer satisfaction.","author":[{"dropping-particle":"","family":"Tseng","given":"Lu Ming","non-dropping-particle":"","parse-names":false,"suffix":""}],"container-title":"International Journal of Bank Marketing","id":"ITEM-1","issue":"1","issued":{"date-parts":[["2019"]]},"page":"210-225","title":"How customer orientation leads to customer satisfaction: Mediating mechanisms of service workers’ etiquette and creativity","type":"article-journal","volume":"37"},"uris":["http://www.mendeley.com/documents/?uuid=47b9302c-a990-4063-bae2-e6c9a0173c3c"]}],"mendeley":{"formattedCitation":"(Tseng, 2019)","plainTextFormattedCitation":"(Tseng, 2019)","previouslyFormattedCitation":"(Tseng, 2019)"},"properties":{"noteIndex":0},"schema":"https://github.com/citation-style-language/schema/raw/master/csl-citation.json"}</w:instrText>
      </w:r>
      <w:r>
        <w:fldChar w:fldCharType="separate"/>
      </w:r>
      <w:r>
        <w:rPr>
          <w:noProof/>
        </w:rPr>
        <w:t>(Tseng, 2019)</w:t>
      </w:r>
      <w:r>
        <w:fldChar w:fldCharType="end"/>
      </w:r>
      <w:r>
        <w:t>. It is considered as one of contributive factors to the strong brand and product features. When</w:t>
      </w:r>
      <w:r>
        <w:rPr>
          <w:spacing w:val="-1"/>
        </w:rPr>
        <w:t xml:space="preserve"> </w:t>
      </w:r>
      <w:r>
        <w:t>customers are satisfied</w:t>
      </w:r>
      <w:r>
        <w:rPr>
          <w:spacing w:val="-6"/>
        </w:rPr>
        <w:t xml:space="preserve"> </w:t>
      </w:r>
      <w:r>
        <w:t>with</w:t>
      </w:r>
      <w:r>
        <w:rPr>
          <w:spacing w:val="-6"/>
        </w:rPr>
        <w:t xml:space="preserve"> </w:t>
      </w:r>
      <w:r>
        <w:t>the</w:t>
      </w:r>
      <w:r>
        <w:rPr>
          <w:spacing w:val="-7"/>
        </w:rPr>
        <w:t xml:space="preserve"> </w:t>
      </w:r>
      <w:r>
        <w:t>product</w:t>
      </w:r>
      <w:r>
        <w:rPr>
          <w:spacing w:val="-5"/>
        </w:rPr>
        <w:t xml:space="preserve"> </w:t>
      </w:r>
      <w:r>
        <w:t>offered,</w:t>
      </w:r>
      <w:r>
        <w:rPr>
          <w:spacing w:val="-7"/>
        </w:rPr>
        <w:t xml:space="preserve"> </w:t>
      </w:r>
      <w:r>
        <w:t>they</w:t>
      </w:r>
      <w:r>
        <w:rPr>
          <w:spacing w:val="-4"/>
        </w:rPr>
        <w:t xml:space="preserve"> </w:t>
      </w:r>
      <w:r>
        <w:t>will</w:t>
      </w:r>
      <w:r>
        <w:rPr>
          <w:spacing w:val="-5"/>
        </w:rPr>
        <w:t xml:space="preserve"> </w:t>
      </w:r>
      <w:r>
        <w:t>express</w:t>
      </w:r>
      <w:r>
        <w:rPr>
          <w:spacing w:val="-6"/>
        </w:rPr>
        <w:t xml:space="preserve"> </w:t>
      </w:r>
      <w:r>
        <w:t>the</w:t>
      </w:r>
      <w:r>
        <w:rPr>
          <w:spacing w:val="-7"/>
        </w:rPr>
        <w:t xml:space="preserve"> </w:t>
      </w:r>
      <w:r>
        <w:t>feeling</w:t>
      </w:r>
      <w:r>
        <w:rPr>
          <w:spacing w:val="-6"/>
        </w:rPr>
        <w:t xml:space="preserve"> </w:t>
      </w:r>
      <w:r>
        <w:t xml:space="preserve">of happiness by becoming a loyal customer to the seller. In order to remain competitive, Takaful operators must be highly responsive to acknowledge customers’ needs and demands as consumers have increasingly becoming more selective and demanding better product choices, cost-effective delivery channels and more friendly customer service standard from takaful operators </w:t>
      </w:r>
      <w:r>
        <w:fldChar w:fldCharType="begin" w:fldLock="1"/>
      </w:r>
      <w:r>
        <w:instrText>ADDIN CSL_CITATION {"citationItems":[{"id":"ITEM-1","itemData":{"ISBN":"1115-7569","abstract":"Abstract: This paper aims to bring to attention the state of takaful or Shariah compliant insurance industry in Malaysia. It provides a review on takaful and its performance in Malaysia and highlights issues and challenges it faced. The review is undertaken through a detail desk study. The outcome of the review suggests that the penetration growth of takaful in Malaysia is relatively small in contrast to the conventional insurance, and that the takaful industry faces a series of constraints that require immediate attention if the industry is going to offer a reliable alternative to conventional insurance","author":[{"dropping-particle":"","family":"Fauzi","given":"Puteri Nur Farah Mohd","non-dropping-particle":"","parse-names":false,"suffix":""},{"dropping-particle":"","family":"Rashid","given":"Khairuddin Abd Rashid","non-dropping-particle":"","parse-names":false,"suffix":""}],"container-title":"Journal of Scientific Research and Development","id":"ITEM-1","issue":"4","issued":{"date-parts":[["2016"]]},"page":"71-76","title":"Takaful : a review on performance , issues and challenges in Malaysia","type":"article-journal","volume":"3"},"uris":["http://www.mendeley.com/documents/?uuid=0ef8f8e2-9ce4-48ac-a265-d31627f02a3e"]}],"mendeley":{"formattedCitation":"(Fauzi &amp; Rashid, 2016)","plainTextFormattedCitation":"(Fauzi &amp; Rashid, 2016)","previouslyFormattedCitation":"(Fauzi &amp; Rashid, 2016)"},"properties":{"noteIndex":0},"schema":"https://github.com/citation-style-language/schema/raw/master/csl-citation.json"}</w:instrText>
      </w:r>
      <w:r>
        <w:fldChar w:fldCharType="separate"/>
      </w:r>
      <w:r>
        <w:rPr>
          <w:noProof/>
        </w:rPr>
        <w:t>(Fauzi &amp; Rashid, 2016)</w:t>
      </w:r>
      <w:r>
        <w:fldChar w:fldCharType="end"/>
      </w:r>
      <w:r>
        <w:t xml:space="preserve">. </w:t>
      </w:r>
    </w:p>
    <w:p w14:paraId="65AE658A" w14:textId="77777777" w:rsidR="002D31C8" w:rsidRDefault="002D31C8" w:rsidP="002D31C8">
      <w:r>
        <w:t>These days, customers</w:t>
      </w:r>
      <w:r>
        <w:rPr>
          <w:spacing w:val="7"/>
        </w:rPr>
        <w:t xml:space="preserve"> </w:t>
      </w:r>
      <w:r>
        <w:t>are</w:t>
      </w:r>
      <w:r>
        <w:rPr>
          <w:spacing w:val="10"/>
        </w:rPr>
        <w:t xml:space="preserve"> </w:t>
      </w:r>
      <w:r>
        <w:t>literally</w:t>
      </w:r>
      <w:r>
        <w:rPr>
          <w:spacing w:val="6"/>
        </w:rPr>
        <w:t xml:space="preserve"> </w:t>
      </w:r>
      <w:r>
        <w:t>walking</w:t>
      </w:r>
      <w:r>
        <w:rPr>
          <w:spacing w:val="8"/>
        </w:rPr>
        <w:t xml:space="preserve"> </w:t>
      </w:r>
      <w:r>
        <w:t>on</w:t>
      </w:r>
      <w:r>
        <w:rPr>
          <w:spacing w:val="8"/>
        </w:rPr>
        <w:t xml:space="preserve"> </w:t>
      </w:r>
      <w:r>
        <w:t>an</w:t>
      </w:r>
      <w:r>
        <w:rPr>
          <w:spacing w:val="7"/>
        </w:rPr>
        <w:t xml:space="preserve"> </w:t>
      </w:r>
      <w:r>
        <w:t>eggshell</w:t>
      </w:r>
      <w:r>
        <w:rPr>
          <w:spacing w:val="9"/>
        </w:rPr>
        <w:t xml:space="preserve"> </w:t>
      </w:r>
      <w:r>
        <w:t>before</w:t>
      </w:r>
      <w:r>
        <w:rPr>
          <w:spacing w:val="9"/>
        </w:rPr>
        <w:t xml:space="preserve"> </w:t>
      </w:r>
      <w:r>
        <w:t>making</w:t>
      </w:r>
      <w:r>
        <w:rPr>
          <w:spacing w:val="6"/>
        </w:rPr>
        <w:t xml:space="preserve"> </w:t>
      </w:r>
      <w:r>
        <w:t>decision</w:t>
      </w:r>
      <w:r>
        <w:rPr>
          <w:spacing w:val="7"/>
        </w:rPr>
        <w:t xml:space="preserve"> </w:t>
      </w:r>
      <w:r>
        <w:t>pertaining</w:t>
      </w:r>
      <w:r>
        <w:rPr>
          <w:spacing w:val="8"/>
        </w:rPr>
        <w:t xml:space="preserve"> </w:t>
      </w:r>
      <w:r>
        <w:t>to</w:t>
      </w:r>
      <w:r>
        <w:rPr>
          <w:spacing w:val="6"/>
        </w:rPr>
        <w:t xml:space="preserve"> </w:t>
      </w:r>
      <w:r>
        <w:t>the</w:t>
      </w:r>
      <w:r>
        <w:rPr>
          <w:spacing w:val="10"/>
        </w:rPr>
        <w:t xml:space="preserve"> </w:t>
      </w:r>
      <w:r>
        <w:t>product and services offered by takaful agents as they perceive their satisfaction are measured based on prior experience. Beforehand, there are two main types of takaful products practiced in Malaysia; family takaful and general takaful. The former usually takes a longer tenure with a minimum of 5 years until reaching</w:t>
      </w:r>
      <w:r>
        <w:rPr>
          <w:color w:val="FF0000"/>
        </w:rPr>
        <w:t xml:space="preserve"> </w:t>
      </w:r>
      <w:r>
        <w:t xml:space="preserve">its maturity period, while the latter is commonly renewable after one year or less. </w:t>
      </w:r>
    </w:p>
    <w:p w14:paraId="663288B9" w14:textId="77777777" w:rsidR="002D31C8" w:rsidRDefault="002D31C8" w:rsidP="002D31C8">
      <w:r>
        <w:t>Responding to the call, Malaysian Takaful Association (MTA) has been very reserved to improvise their standard practice in customer service charter by giving focus on 4 pillars, which are; insurance or takaful made accessible through better engagement and improved</w:t>
      </w:r>
      <w:r>
        <w:rPr>
          <w:spacing w:val="-6"/>
        </w:rPr>
        <w:t xml:space="preserve"> </w:t>
      </w:r>
      <w:r>
        <w:t>services, knowing the customer to build</w:t>
      </w:r>
      <w:r>
        <w:rPr>
          <w:spacing w:val="-1"/>
        </w:rPr>
        <w:t xml:space="preserve"> </w:t>
      </w:r>
      <w:r>
        <w:t>trust, timely, transparent and excellent service to the customer’s satisfaction,</w:t>
      </w:r>
      <w:r>
        <w:rPr>
          <w:spacing w:val="-7"/>
        </w:rPr>
        <w:t xml:space="preserve"> </w:t>
      </w:r>
      <w:r>
        <w:t>and fair, timely and transparent claims settlement process to provide peace of</w:t>
      </w:r>
      <w:r>
        <w:rPr>
          <w:spacing w:val="-5"/>
        </w:rPr>
        <w:t xml:space="preserve"> </w:t>
      </w:r>
      <w:r>
        <w:t>mind.</w:t>
      </w:r>
    </w:p>
    <w:p w14:paraId="082D8DED" w14:textId="77777777" w:rsidR="002D31C8" w:rsidRDefault="002D31C8" w:rsidP="002D31C8">
      <w:pPr>
        <w:rPr>
          <w:spacing w:val="-10"/>
        </w:rPr>
      </w:pPr>
      <w:r>
        <w:t>Prior research has been focusing on the service quality, takaful performance and role of agent which is</w:t>
      </w:r>
      <w:r>
        <w:rPr>
          <w:color w:val="FF0000"/>
        </w:rPr>
        <w:t xml:space="preserve"> </w:t>
      </w:r>
      <w:r>
        <w:t>seen impactful to measure customer satisfaction</w:t>
      </w:r>
      <w:r>
        <w:rPr>
          <w:spacing w:val="-10"/>
        </w:rPr>
        <w:t xml:space="preserve">. Several studies have pointed the financial performance of takaful industries in perspective of SMEs, some are studying on the intention behind purchasing takaful and extensive research have been investigated on understanding and awareness of takaful. However, little research has been carried out to the extent of customer satisfaction in a small segment area. Therefore, this study shed some light on customer satisfaction in perspective of small city in Kelantan, located in </w:t>
      </w:r>
      <w:proofErr w:type="spellStart"/>
      <w:r>
        <w:rPr>
          <w:spacing w:val="-10"/>
        </w:rPr>
        <w:t>Pengkalan</w:t>
      </w:r>
      <w:proofErr w:type="spellEnd"/>
      <w:r>
        <w:rPr>
          <w:spacing w:val="-10"/>
        </w:rPr>
        <w:t xml:space="preserve"> </w:t>
      </w:r>
      <w:proofErr w:type="spellStart"/>
      <w:r>
        <w:rPr>
          <w:spacing w:val="-10"/>
        </w:rPr>
        <w:t>Chepa</w:t>
      </w:r>
      <w:proofErr w:type="spellEnd"/>
      <w:r>
        <w:rPr>
          <w:spacing w:val="-10"/>
        </w:rPr>
        <w:t xml:space="preserve">. </w:t>
      </w:r>
      <w:r>
        <w:t xml:space="preserve">This research objective is to examine the significant relationship of these variables; technology, product offered and consultancy services towards customer satisfaction among the community. The findings of this study will be able to help takaful operators to improve the products offered and services provided to their clients, indirectly to retain customer loyalty. The present study is guided by the following research questions: </w:t>
      </w:r>
    </w:p>
    <w:p w14:paraId="56AA5FF0" w14:textId="77777777" w:rsidR="002D31C8" w:rsidRDefault="002D31C8" w:rsidP="002D31C8"/>
    <w:p w14:paraId="612F65C8" w14:textId="77777777" w:rsidR="002D31C8" w:rsidRDefault="002D31C8" w:rsidP="002D31C8">
      <w:r>
        <w:t xml:space="preserve">Is there any significant correlation between adoption of technology and customer satisfaction? </w:t>
      </w:r>
    </w:p>
    <w:p w14:paraId="7260A390" w14:textId="77777777" w:rsidR="002D31C8" w:rsidRDefault="002D31C8" w:rsidP="002D31C8">
      <w:r>
        <w:t xml:space="preserve">Is there any significant correlation between product offered and customer satisfaction? </w:t>
      </w:r>
    </w:p>
    <w:p w14:paraId="006FB976" w14:textId="77777777" w:rsidR="002D31C8" w:rsidRDefault="002D31C8" w:rsidP="002D31C8">
      <w:r>
        <w:t>Is there any significant correlation between consultancy provided and customer satisfaction?</w:t>
      </w:r>
    </w:p>
    <w:p w14:paraId="7E3141A7" w14:textId="77777777" w:rsidR="002D31C8" w:rsidRDefault="002D31C8" w:rsidP="00A3000F">
      <w:pPr>
        <w:ind w:firstLine="0"/>
      </w:pPr>
    </w:p>
    <w:p w14:paraId="094D219F" w14:textId="583F8A4B" w:rsidR="00515651" w:rsidRDefault="00515651" w:rsidP="00515651">
      <w:pPr>
        <w:pStyle w:val="heading1"/>
      </w:pPr>
      <w:r>
        <w:lastRenderedPageBreak/>
        <w:t>Literature Review</w:t>
      </w:r>
    </w:p>
    <w:p w14:paraId="18A9441A" w14:textId="0487675F" w:rsidR="00515651" w:rsidRDefault="002D31C8" w:rsidP="00515651">
      <w:pPr>
        <w:pStyle w:val="heading2"/>
      </w:pPr>
      <w:r>
        <w:t>Customer Satisfaction Theory</w:t>
      </w:r>
    </w:p>
    <w:p w14:paraId="36182FC6" w14:textId="77777777" w:rsidR="002D31C8" w:rsidRDefault="002D31C8" w:rsidP="00FA3AB1">
      <w:pPr>
        <w:ind w:firstLine="0"/>
      </w:pPr>
      <w:r>
        <w:t xml:space="preserve">According to </w:t>
      </w:r>
      <w:r>
        <w:fldChar w:fldCharType="begin" w:fldLock="1"/>
      </w:r>
      <w:r>
        <w:instrText>ADDIN CSL_CITATION {"citationItems":[{"id":"ITEM-1","itemData":{"DOI":"10.1016/j.trpro.2020.08.117","ISSN":"2352-1465","author":[{"dropping-particle":"","family":"Mahatma","given":"I Gede","non-dropping-particle":"","parse-names":false,"suffix":""},{"dropping-particle":"","family":"Bakti","given":"Yuda","non-dropping-particle":"","parse-names":false,"suffix":""},{"dropping-particle":"","family":"Rakhmawati","given":"Tri","non-dropping-particle":"","parse-names":false,"suffix":""},{"dropping-particle":"","family":"Sumaedi","given":"Sik","non-dropping-particle":"","parse-names":false,"suffix":""},{"dropping-particle":"","family":"Widianti","given":"Tri","non-dropping-particle":"","parse-names":false,"suffix":""},{"dropping-particle":"","family":"Yarmen","given":"Medi","non-dropping-particle":"","parse-names":false,"suffix":""},{"dropping-particle":"","family":"Astrini","given":"Nidya J","non-dropping-particle":"","parse-names":false,"suffix":""}],"container-title":"Transportation Research Procedia","id":"ITEM-1","issue":"May","issued":{"date-parts":[["2019"]]},"page":"1-16","publisher":"Elsevier B.V.","title":"ScienceDirect Public transport users ’ WOM : an integration model of the theory of planned behavior , customer satisfaction theory , and personal norm theory","type":"article-journal","volume":"00"},"uris":["http://www.mendeley.com/documents/?uuid=2a735343-7af9-47bc-b88c-bc9e2f9b0aa2"]}],"mendeley":{"formattedCitation":"(Mahatma et al., 2019)","manualFormatting":"Mahatma et al. (2019)","plainTextFormattedCitation":"(Mahatma et al., 2019)","previouslyFormattedCitation":"(Mahatma et al., 2019)"},"properties":{"noteIndex":0},"schema":"https://github.com/citation-style-language/schema/raw/master/csl-citation.json"}</w:instrText>
      </w:r>
      <w:r>
        <w:fldChar w:fldCharType="separate"/>
      </w:r>
      <w:r>
        <w:rPr>
          <w:noProof/>
        </w:rPr>
        <w:t>Mahatma et al. (2019)</w:t>
      </w:r>
      <w:r>
        <w:fldChar w:fldCharType="end"/>
      </w:r>
      <w:r>
        <w:t>, satisfaction can be defined as consumers’ emotional (feeling) state which reflects</w:t>
      </w:r>
      <w:r>
        <w:rPr>
          <w:color w:val="FF0000"/>
        </w:rPr>
        <w:t xml:space="preserve"> </w:t>
      </w:r>
      <w:r>
        <w:t>their evaluation towards other parties who act as a service provider. Yet, satisfaction is not closely associated to service quality since it is perceived to be more holistic and</w:t>
      </w:r>
      <w:r>
        <w:rPr>
          <w:color w:val="FF0000"/>
        </w:rPr>
        <w:t xml:space="preserve"> </w:t>
      </w:r>
      <w:r>
        <w:t xml:space="preserve">covers both intrinsic and extrinsic aspects such as price, products and others. </w:t>
      </w:r>
    </w:p>
    <w:p w14:paraId="2E2D0DB0" w14:textId="14AB0C32" w:rsidR="002D31C8" w:rsidRDefault="002D31C8" w:rsidP="002D31C8">
      <w:r>
        <w:t xml:space="preserve">Takaful does not only offer product but also in service-kind. </w:t>
      </w:r>
      <w:proofErr w:type="spellStart"/>
      <w:r>
        <w:t>Wakalah</w:t>
      </w:r>
      <w:proofErr w:type="spellEnd"/>
      <w:r>
        <w:t xml:space="preserve"> concept is applied in takaful industry for takaful agent. A small fee is deducted from participant’s contribution fund as part of commission based on agent’s performance in managing the fund and administrative expenses </w:t>
      </w:r>
      <w:r>
        <w:fldChar w:fldCharType="begin" w:fldLock="1"/>
      </w:r>
      <w:r>
        <w:instrText>ADDIN CSL_CITATION {"citationItems":[{"id":"ITEM-1","itemData":{"DOI":"10.6007/IJARBSS/v7-i3/2743","abstract":"The purpose of this paper is to review several determinants of customer satisfaction based on the existing literature. At the same time, the history of the development of Takaful Insurance Industry in the context of Malaysia has been revealed. Given that the study of customer satisfaction particularly in the Malaysia Takaful Industry is still limited; thus, the researcher attempt to bring the entire concept of customer satisfaction based on the findings of the previous research. Underpinning theory which may explain the relationship between variables which are related to customer satisfaction domain has been discussed.","author":[{"dropping-particle":"","family":"Hafifa","given":"Nur","non-dropping-particle":"","parse-names":false,"suffix":""},{"dropping-particle":"","family":"Ishak","given":"Iswati","non-dropping-particle":"","parse-names":false,"suffix":""}],"container-title":"International Journal of Academic Research in Business and Social Sciences","id":"ITEM-1","issue":"3","issued":{"date-parts":[["2017"]]},"page":"380","title":"Concept Paper: Customer Satisfaction in Malaysian Takaful Industry","type":"article-journal","volume":"7"},"uris":["http://www.mendeley.com/documents/?uuid=b7970896-188c-42d8-981f-4d6921b4b3db"]}],"mendeley":{"formattedCitation":"(Hafifa &amp; Ishak, 2017)","plainTextFormattedCitation":"(Hafifa &amp; Ishak, 2017)","previouslyFormattedCitation":"(Hafifa &amp; Ishak, 2017)"},"properties":{"noteIndex":0},"schema":"https://github.com/citation-style-language/schema/raw/master/csl-citation.json"}</w:instrText>
      </w:r>
      <w:r>
        <w:fldChar w:fldCharType="separate"/>
      </w:r>
      <w:r>
        <w:rPr>
          <w:noProof/>
        </w:rPr>
        <w:t>(Hafifa &amp; Ishak, 2017)</w:t>
      </w:r>
      <w:r>
        <w:fldChar w:fldCharType="end"/>
      </w:r>
      <w:r>
        <w:t xml:space="preserve">. Since takaful is based on trust between principal (customer/participant) and agent, customers’ satisfaction matters to the takaful operators to improvise and stay competitive in the market along with other takaful operators </w:t>
      </w:r>
      <w:r>
        <w:fldChar w:fldCharType="begin" w:fldLock="1"/>
      </w:r>
      <w:r>
        <w:instrText>ADDIN CSL_CITATION {"citationItems":[{"id":"ITEM-1","itemData":{"DOI":"10.1108/JIABR-01-2018-0013","ISSN":"17590825","abstract":"Purpose: The purpose of this study is to explain factors contributing towards the development of trust in takaful agents and its consequences. Design/methodology/approach: A total of 182 completed survey questionnaires have been collected. Descriptive analysis, exploratory factor analysis and structural equation modeling analysis are used to analyse the data. Findings: The result indicates that clients’ trust in takaful agents is influenced by the agents’ communication and expertise as well as the image of the takaful operator represented by them. Also, trust in takaful agents affects clients’ loyalty and intention to continue service with the existing agent. Practical implications: This paper makes contributions by briefly discussing several recommendations to increase clients’ trust in takaful agents. Originality/value: This research paper is related to takaful agent–client relationships and can be used to formulate appropriate marketing strategies for building stronger relationships.","author":[{"dropping-particle":"","family":"Shukor","given":"Syadiyah Abdul","non-dropping-particle":"","parse-names":false,"suffix":""}],"container-title":"Journal of Islamic Accounting and Business Research","id":"ITEM-1","issue":"6","issued":{"date-parts":[["2020"]]},"page":"1161-1174","title":"Trust in takaful agents: antecedents and consequences","type":"article-journal","volume":"11"},"uris":["http://www.mendeley.com/documents/?uuid=8faa5a87-333a-4682-91a2-d2a02f7a1290"]}],"mendeley":{"formattedCitation":"(Shukor, 2020)","plainTextFormattedCitation":"(Shukor, 2020)","previouslyFormattedCitation":"(Shukor, 2020)"},"properties":{"noteIndex":0},"schema":"https://github.com/citation-style-language/schema/raw/master/csl-citation.json"}</w:instrText>
      </w:r>
      <w:r>
        <w:fldChar w:fldCharType="separate"/>
      </w:r>
      <w:r>
        <w:rPr>
          <w:noProof/>
        </w:rPr>
        <w:t>(Shukor, 2020)</w:t>
      </w:r>
      <w:r>
        <w:fldChar w:fldCharType="end"/>
      </w:r>
      <w:r>
        <w:t xml:space="preserve">. As a matter of fact, customer satisfaction will directly impact on customer retention </w:t>
      </w:r>
      <w:r>
        <w:fldChar w:fldCharType="begin" w:fldLock="1"/>
      </w:r>
      <w:r w:rsidR="002057B3">
        <w:instrText>ADDIN CSL_CITATION {"citationItems":[{"id":"ITEM-1","itemData":{"DOI":"10.1108/APJML-12-2017-0311","ISSN":"17584248","abstract":"Purpose: The purpose of this paper is to investigate the factors that affect one’s attitude and intentions towards family takaful schemes, apart from evaluating the mediating role of perceived trust in the relationship between perceived religiosity and attitude towards family takaful. Most prior studies have considered religiosity as an individual’s tendency to be religious. However, the present study employed perceived religiosity as one’s perception regarding shariah compliance practices of family takaful schemes. Moreover, this study examines the direct relationship between perceived religiosity and attitude and the indirect relationship between perceived religiosity and trust. Design/methodology/approach: A sample of 224 salaried individuals was selected with an age range of 24–50. Variance-based partial least squares structural equation modelling was employed for data analysis. Findings: The results showed that knowledge and perceived usefulness (PU) had significantly positive relationships with attitude towards family takaful schemes. Perceived trust completely mediated the relationship between perceived religiosity and attitude towards family takaful. Attitude was positively related to purchase intention regarding family takaful. Practical implications: The findings of the study are important for Islamic financial institutions, especially for takaful companies to revamp their marketing strategies. With enhanced understanding regarding consumer behaviour, takaful companies can sell their products in a more effective manner to increase their market share. Originality/value: Behavioural aspects regarding the purchase of Islamic insurance products have yet to be profoundly explored in the literature. The indirect relationship between perceived religiosity and trust is established in this study. The study contributes to the field of consumer behaviour and marketing of Islamic financial products.","author":[{"dropping-particle":"","family":"Aziz","given":"Shahab","non-dropping-particle":"","parse-names":false,"suffix":""},{"dropping-particle":"","family":"Md Husin","given":"Maizaitulaidawati","non-dropping-particle":"","parse-names":false,"suffix":""},{"dropping-particle":"","family":"Hussin","given":"Nazimah","non-dropping-particle":"","parse-names":false,"suffix":""},{"dropping-particle":"","family":"Afaq","given":"Zahra","non-dropping-particle":"","parse-names":false,"suffix":""}],"container-title":"Asia Pacific Journal of Marketing and Logistics","id":"ITEM-1","issue":"1","issued":{"date-parts":[["2019"]]},"page":"81-104","title":"Factors that influence individuals’ intentions to purchase family takaful mediating role of perceived trust","type":"article-journal","volume":"31"},"uris":["http://www.mendeley.com/documents/?uuid=f602a76a-24fd-460f-a6f1-15a1da7b3912"]}],"mendeley":{"formattedCitation":"(Aziz et al., 2019)","plainTextFormattedCitation":"(Aziz et al., 2019)","previouslyFormattedCitation":"(Aziz et al., 2019)"},"properties":{"noteIndex":0},"schema":"https://github.com/citation-style-language/schema/raw/master/csl-citation.json"}</w:instrText>
      </w:r>
      <w:r>
        <w:fldChar w:fldCharType="separate"/>
      </w:r>
      <w:r w:rsidR="00DC3632" w:rsidRPr="00DC3632">
        <w:rPr>
          <w:noProof/>
        </w:rPr>
        <w:t>(Aziz et al., 2019)</w:t>
      </w:r>
      <w:r>
        <w:fldChar w:fldCharType="end"/>
      </w:r>
      <w:r>
        <w:t>. This study inclines customer satisfaction with adoption of technology, product offered and consultancy services.</w:t>
      </w:r>
    </w:p>
    <w:p w14:paraId="56C832A5" w14:textId="7FE0FD96" w:rsidR="00405CF6" w:rsidRDefault="002D31C8" w:rsidP="002D31C8">
      <w:pPr>
        <w:pStyle w:val="heading2"/>
      </w:pPr>
      <w:r w:rsidRPr="000E4A73">
        <w:t xml:space="preserve"> </w:t>
      </w:r>
      <w:r>
        <w:t>Adoption of Technology</w:t>
      </w:r>
    </w:p>
    <w:p w14:paraId="675648B3" w14:textId="26D95B33" w:rsidR="002D31C8" w:rsidRDefault="002D31C8" w:rsidP="00FA3AB1">
      <w:pPr>
        <w:ind w:firstLine="0"/>
      </w:pPr>
      <w:r>
        <w:t>The use of technology is crucial in the management of takaful</w:t>
      </w:r>
      <w:r>
        <w:rPr>
          <w:spacing w:val="-8"/>
        </w:rPr>
        <w:t xml:space="preserve"> for </w:t>
      </w:r>
      <w:r>
        <w:t>securing</w:t>
      </w:r>
      <w:r>
        <w:rPr>
          <w:spacing w:val="-9"/>
        </w:rPr>
        <w:t xml:space="preserve"> </w:t>
      </w:r>
      <w:r>
        <w:t>its</w:t>
      </w:r>
      <w:r>
        <w:rPr>
          <w:spacing w:val="-11"/>
        </w:rPr>
        <w:t xml:space="preserve"> </w:t>
      </w:r>
      <w:r>
        <w:t>takaful</w:t>
      </w:r>
      <w:r>
        <w:rPr>
          <w:spacing w:val="-11"/>
        </w:rPr>
        <w:t xml:space="preserve"> </w:t>
      </w:r>
      <w:r>
        <w:t>operational activities.</w:t>
      </w:r>
      <w:r>
        <w:rPr>
          <w:spacing w:val="-9"/>
        </w:rPr>
        <w:t xml:space="preserve"> </w:t>
      </w:r>
      <w:r>
        <w:t>With</w:t>
      </w:r>
      <w:r>
        <w:rPr>
          <w:spacing w:val="-8"/>
        </w:rPr>
        <w:t xml:space="preserve"> </w:t>
      </w:r>
      <w:r>
        <w:t>the</w:t>
      </w:r>
      <w:r>
        <w:rPr>
          <w:spacing w:val="-9"/>
        </w:rPr>
        <w:t xml:space="preserve"> </w:t>
      </w:r>
      <w:r>
        <w:t xml:space="preserve">fast headway in the present technology, most of the activities that are done will involve online transaction. </w:t>
      </w:r>
      <w:r>
        <w:fldChar w:fldCharType="begin" w:fldLock="1"/>
      </w:r>
      <w:r w:rsidR="002057B3">
        <w:instrText>ADDIN CSL_CITATION {"citationItems":[{"id":"ITEM-1","itemData":{"DOI":"10.1108/IJOEM-08-2017-0275","ISBN":"0820170275","ISSN":"17468817","abstract":"Purpose: The purpose of this paper is to determine the factors influencing customer adoption toward takaful products in Pakistan. Design/methodology/approach: The study used five attributes of diffusion innovation theory (DOI), namely, relative advantage, compatibility, trialability, observability and complexity. Furthermore, the authors introduced two additional constructs, namely, consumer awareness and religiosity to analyze the adoption behavior of customers. A total of 365 questionnaires were distributed among the participants of the study. The survey was conducted in the Karachi city where the respondents were the existing and potential users of takaful products. The theoretical model of DOI theory was tested using structural equation modeling. Findings: The findings report that complexity has a negative impact on the adoption of takaful, whereas relative advantage, compatibility, trialability, observability, religiosity and consumer awareness shows a positive and significant influence. Originality/value: It is a noteworthy point that past literature is quite limited to investigate the determinants of consumer intentions to adopt takaful products. Based on this argument, the authors build the study to provide a scope and coverage in the field of Islamic insurance. The authors also expect that the research will encourage and provide a venue for forthcoming studies to help policy makers and academicians in this emerging business.","author":[{"dropping-particle":"","family":"Ali","given":"Muhammad","non-dropping-particle":"","parse-names":false,"suffix":""},{"dropping-particle":"","family":"Raza","given":"Syed Ali","non-dropping-particle":"","parse-names":false,"suffix":""},{"dropping-particle":"","family":"Puah","given":"Chin Hong","non-dropping-particle":"","parse-names":false,"suffix":""},{"dropping-particle":"","family":"Amin","given":"Hanudin","non-dropping-particle":"","parse-names":false,"suffix":""}],"container-title":"International Journal of Emerging Markets","id":"ITEM-1","issue":"4","issued":{"date-parts":[["2019"]]},"page":"620-638","title":"Consumer acceptance toward takaful in Pakistan: An application of diffusion of innovation theory","type":"article-journal","volume":"14"},"uris":["http://www.mendeley.com/documents/?uuid=477ebc3b-a984-42f2-a7d3-3075e212772b"]}],"mendeley":{"formattedCitation":"(Ali et al., 2019)","manualFormatting":"Ali, Raza, Puah, &amp; Amin (2019)","plainTextFormattedCitation":"(Ali et al., 2019)","previouslyFormattedCitation":"(Ali et al., 2019)"},"properties":{"noteIndex":0},"schema":"https://github.com/citation-style-language/schema/raw/master/csl-citation.json"}</w:instrText>
      </w:r>
      <w:r>
        <w:fldChar w:fldCharType="separate"/>
      </w:r>
      <w:r>
        <w:rPr>
          <w:noProof/>
        </w:rPr>
        <w:t>Ali, Raza, Puah, &amp; Amin (2019)</w:t>
      </w:r>
      <w:r>
        <w:fldChar w:fldCharType="end"/>
      </w:r>
      <w:r>
        <w:t xml:space="preserve"> suggested that takaful operators should not only focus on conservative channels like direct selling, public relations, sponsorship etc. but also delivering good quality of communication to ensure its transparency of products and services, alongside the products’ benefits package to the customers.</w:t>
      </w:r>
    </w:p>
    <w:p w14:paraId="6B92C879" w14:textId="4901702C" w:rsidR="002D31C8" w:rsidRDefault="002D31C8" w:rsidP="00FA3AB1">
      <w:r>
        <w:t xml:space="preserve">Sophisticated use of technology can help takaful industry to meet customers’ need and maintain customer satisfaction in purchasing takaful products. As explained by </w:t>
      </w:r>
      <w:r>
        <w:fldChar w:fldCharType="begin" w:fldLock="1"/>
      </w:r>
      <w:r>
        <w:instrText>ADDIN CSL_CITATION {"citationItems":[{"id":"ITEM-1","itemData":{"DOI":"10.31580/apss.v4i1.527","ISSN":"2663-662X","abstract":"It is undeniably true that the digital disruption situation is unavoidable and real. The use of financial technology (fintech) is a prerequisite nowadays and was no longer an alternative back in those days. Consumers can have all the banking services available at their fingers through smart devices and this creates a good user experience. However, it shall be noted that although fintech has provided the consumers with much convenience, it should not distract the main purpose of banking industries for being the â€˜safekeeperâ€™ of consumersâ€™ money. The challenge faced by Takaful operation due to digital disruption is either to adapt to it or suffer a slow death. One of the initiatives taken by Takaful Malaysia is to collaborate with software company Fusionex to transform its core software and to promote social media marketing. The response was very welcome and about 40 million insurance policies was sold on its digital platform since its first product launched online within a period of three months. Takaful Malaysia on the the hand is putting in effort seeking to reach more people especially the senior citizens with no or minimal knowledge Internet knowledge and also rural customers who lack of internet access.","author":[{"dropping-particle":"","family":"Abdull Manaf","given":"Azwina Wati","non-dropping-particle":"","parse-names":false,"suffix":""},{"dropping-particle":"","family":"Amiruddin","given":"Norazuan binti","non-dropping-particle":"","parse-names":false,"suffix":""}],"container-title":"Asia Proceedings of Social Sciences","id":"ITEM-1","issue":"1","issued":{"date-parts":[["2019"]]},"page":"1-3","title":"Fintech and the Challenge of Digital Disruption in Takaful Operation","type":"article-journal","volume":"4"},"uris":["http://www.mendeley.com/documents/?uuid=6a5c2e7f-0480-401f-b72b-007ccfd9520b"]}],"mendeley":{"formattedCitation":"(Abdull Manaf &amp; Amiruddin, 2019)","manualFormatting":"Abdull Manaf &amp; Amiruddin (2019)","plainTextFormattedCitation":"(Abdull Manaf &amp; Amiruddin, 2019)","previouslyFormattedCitation":"(Abdull Manaf &amp; Amiruddin, 2019)"},"properties":{"noteIndex":0},"schema":"https://github.com/citation-style-language/schema/raw/master/csl-citation.json"}</w:instrText>
      </w:r>
      <w:r>
        <w:fldChar w:fldCharType="separate"/>
      </w:r>
      <w:r>
        <w:rPr>
          <w:noProof/>
        </w:rPr>
        <w:t>Abdull Manaf &amp; Amiruddin (2019)</w:t>
      </w:r>
      <w:r>
        <w:fldChar w:fldCharType="end"/>
      </w:r>
      <w:r>
        <w:t xml:space="preserve">, financial technology is not only beneficial to the organization for boosting sales but also to improve the efficiency of giving information for existing and potential customers. </w:t>
      </w:r>
      <w:r>
        <w:fldChar w:fldCharType="begin" w:fldLock="1"/>
      </w:r>
      <w:r>
        <w:instrText>ADDIN CSL_CITATION {"citationItems":[{"id":"ITEM-1","itemData":{"DOI":"10.1108/JIMA-08-2018-0143","ISSN":"17590841","abstract":"Purpose: This study aims to identify and describe possible innovations available to the takaful industry in Indonesia by considering demographic characteristics and geographical conditions. Indonesia has a predominantly Muslim population, and thus, presents good potential for the takaful market. Design/methodology/approach: This study uses a qualitative, descriptive, literature-based method to discuss innovation strategies in the takaful industry. This method is appropriate for reviewing particular conditions and phenomena by analysing information and data drawn from existing literature. Findings: Market, product and process innovations are chosen as the strategies appropriate to expanding the takaful market in Indonesia. Strategies are described, which could be used to implement these innovations by influencing the community to participate in takaful, and thus, to expand the takaful market. Research limitations/implications: The innovation strategies described are adapted to the demographic characteristics of Indonesia and so cannot necessarily be generalised to other countries with different environments. Practical implications: By considering customer demographic and geographical conditions, the takaful industry should choose the types of innovation that will suit the community characteristics and environmental conditions of Indonesia. Originality/value: The study specifically discusses innovation strategies in the takaful industry by describing the socio-economic conditions of Indonesian society. Takaful companies in Indonesia can use the results to determine the types of innovation they pursue based on the customer demographic and geographical conditions faced.","author":[{"dropping-particle":"","family":"Nugraheni","given":"Peni","non-dropping-particle":"","parse-names":false,"suffix":""},{"dropping-particle":"","family":"Muhammad","given":"Rifqi","non-dropping-particle":"","parse-names":false,"suffix":""}],"container-title":"Journal of Islamic Marketing","id":"ITEM-1","issued":{"date-parts":[["2019"]]},"title":"Innovation in the takaful industry: a strategy to expand the takaful market in Indonesia","type":"article-journal"},"uris":["http://www.mendeley.com/documents/?uuid=5ceab45d-73f7-4b2f-9dfd-a0cb95bfa7d1"]}],"mendeley":{"formattedCitation":"(Nugraheni &amp; Muhammad, 2019)","manualFormatting":"Nugraheni &amp; Muhammad (2019)","plainTextFormattedCitation":"(Nugraheni &amp; Muhammad, 2019)","previouslyFormattedCitation":"(Nugraheni &amp; Muhammad, 2019)"},"properties":{"noteIndex":0},"schema":"https://github.com/citation-style-language/schema/raw/master/csl-citation.json"}</w:instrText>
      </w:r>
      <w:r>
        <w:fldChar w:fldCharType="separate"/>
      </w:r>
      <w:r>
        <w:rPr>
          <w:noProof/>
        </w:rPr>
        <w:t>Nugraheni &amp; Muhammad (2019)</w:t>
      </w:r>
      <w:r>
        <w:fldChar w:fldCharType="end"/>
      </w:r>
      <w:r>
        <w:t xml:space="preserve"> supported the idea of innovation in takaful industry as it will help to reaching out and increase penetration rate in Indonesia. </w:t>
      </w:r>
    </w:p>
    <w:p w14:paraId="40958DA4" w14:textId="77777777" w:rsidR="00FA3AB1" w:rsidRDefault="002D31C8" w:rsidP="00FA3AB1">
      <w:r>
        <w:t xml:space="preserve">Further discussed by </w:t>
      </w:r>
      <w:r>
        <w:fldChar w:fldCharType="begin" w:fldLock="1"/>
      </w:r>
      <w:r>
        <w:instrText>ADDIN CSL_CITATION {"citationItems":[{"id":"ITEM-1","itemData":{"author":[{"dropping-particle":"","family":"Saeed","given":"Maryam","non-dropping-particle":"","parse-names":false,"suffix":""}],"container-title":"COMSATS Journal of Islamic Finance","id":"ITEM-1","issued":{"date-parts":[["2019"]]},"page":"62-87","title":"Challenges of Islamic Insurance (Takaful) Globally","type":"article-journal","volume":"4(I)"},"uris":["http://www.mendeley.com/documents/?uuid=3ad36c86-6d9b-4935-ba75-6aedf338c363"]}],"mendeley":{"formattedCitation":"(Saeed, 2019)","manualFormatting":"Saeed (2019)","plainTextFormattedCitation":"(Saeed, 2019)","previouslyFormattedCitation":"(Saeed, 2019)"},"properties":{"noteIndex":0},"schema":"https://github.com/citation-style-language/schema/raw/master/csl-citation.json"}</w:instrText>
      </w:r>
      <w:r>
        <w:fldChar w:fldCharType="separate"/>
      </w:r>
      <w:r>
        <w:rPr>
          <w:noProof/>
        </w:rPr>
        <w:t>Saeed (2019)</w:t>
      </w:r>
      <w:r>
        <w:fldChar w:fldCharType="end"/>
      </w:r>
      <w:r>
        <w:t xml:space="preserve">, one of the challenges faced by takaful industry globally is due to the inadequate technology capabilities. This is in line with a study carried out by </w:t>
      </w:r>
      <w:r>
        <w:fldChar w:fldCharType="begin" w:fldLock="1"/>
      </w:r>
      <w:r>
        <w:instrText>ADDIN CSL_CITATION {"citationItems":[{"id":"ITEM-1","itemData":{"author":[{"dropping-particle":"","family":"Md Husin","given":"Maizaitulaidawati","non-dropping-particle":"","parse-names":false,"suffix":""}],"id":"ITEM-1","issued":{"date-parts":[["2019"]]},"page":"131-137","title":"The Dynamics of Malaysian Takaful Market : Challenges and Future Prospects","type":"article-journal","volume":"2117"},"uris":["http://www.mendeley.com/documents/?uuid=288adc12-1492-4c49-89e1-2d8d1a788194"]}],"mendeley":{"formattedCitation":"(Md Husin, 2019)","manualFormatting":"Md Husin (2019)","plainTextFormattedCitation":"(Md Husin, 2019)","previouslyFormattedCitation":"(Md Husin, 2019)"},"properties":{"noteIndex":0},"schema":"https://github.com/citation-style-language/schema/raw/master/csl-citation.json"}</w:instrText>
      </w:r>
      <w:r>
        <w:fldChar w:fldCharType="separate"/>
      </w:r>
      <w:r>
        <w:rPr>
          <w:noProof/>
        </w:rPr>
        <w:t>Md Husin (2019)</w:t>
      </w:r>
      <w:r>
        <w:fldChar w:fldCharType="end"/>
      </w:r>
      <w:r>
        <w:t xml:space="preserve"> whom stated that takaful operators should invest in appropriate technology platform to have an effective interaction with customers. Following to a statement issued by </w:t>
      </w:r>
      <w:r>
        <w:fldChar w:fldCharType="begin" w:fldLock="1"/>
      </w:r>
      <w:r>
        <w:instrText>ADDIN CSL_CITATION {"citationItems":[{"id":"ITEM-1","itemData":{"URL":"https://www.fitchratings.com/research/insurance/government-push-to-drive-takaful-growth-in-malaysia-09-01-2019","author":[{"dropping-particle":"","family":"Fitch Ratings","given":"","non-dropping-particle":"","parse-names":false,"suffix":""}],"container-title":"Fitch Ratings, Inc.","id":"ITEM-1","issued":{"date-parts":[["2019"]]},"title":"Government Push to Drive Takaful Growth in Malaysia","type":"webpage"},"uris":["http://www.mendeley.com/documents/?uuid=21c04410-3e75-4b41-a275-1d5153cbc0ff"]}],"mendeley":{"formattedCitation":"(Fitch Ratings, 2019)","manualFormatting":"Fitch Ratings (2019)","plainTextFormattedCitation":"(Fitch Ratings, 2019)","previouslyFormattedCitation":"(Fitch Ratings, 2019)"},"properties":{"noteIndex":0},"schema":"https://github.com/citation-style-language/schema/raw/master/csl-citation.json"}</w:instrText>
      </w:r>
      <w:r>
        <w:fldChar w:fldCharType="separate"/>
      </w:r>
      <w:r>
        <w:rPr>
          <w:noProof/>
        </w:rPr>
        <w:t>Fitch Ratings (2019)</w:t>
      </w:r>
      <w:r>
        <w:fldChar w:fldCharType="end"/>
      </w:r>
      <w:r>
        <w:t>, greater technological advancement may lead to the expansion of distribution channels and eventually will outgrow penetration rate to the untapped population segments and younger consumers with greater cost-effectiveness.</w:t>
      </w:r>
    </w:p>
    <w:p w14:paraId="277D62CF" w14:textId="4E201A16" w:rsidR="002D31C8" w:rsidRPr="00FA3AB1" w:rsidRDefault="002D31C8" w:rsidP="00FA3AB1">
      <w:pPr>
        <w:ind w:firstLine="0"/>
        <w:rPr>
          <w:i/>
          <w:iCs/>
        </w:rPr>
      </w:pPr>
      <w:r w:rsidRPr="00FA3AB1">
        <w:rPr>
          <w:i/>
          <w:iCs/>
        </w:rPr>
        <w:t>H</w:t>
      </w:r>
      <w:r w:rsidRPr="00FA3AB1">
        <w:rPr>
          <w:i/>
          <w:iCs/>
          <w:vertAlign w:val="subscript"/>
        </w:rPr>
        <w:t>0</w:t>
      </w:r>
      <w:r w:rsidRPr="00FA3AB1">
        <w:rPr>
          <w:i/>
          <w:iCs/>
        </w:rPr>
        <w:t>: There is no significant relationship between adoption of technology and customer satisfaction of takaful products</w:t>
      </w:r>
    </w:p>
    <w:p w14:paraId="03465122" w14:textId="4467A9A4" w:rsidR="002D31C8" w:rsidRPr="00FA3AB1" w:rsidRDefault="002D31C8" w:rsidP="00405CF6">
      <w:pPr>
        <w:ind w:firstLine="0"/>
        <w:rPr>
          <w:i/>
          <w:iCs/>
          <w:vertAlign w:val="subscript"/>
        </w:rPr>
      </w:pPr>
      <w:r w:rsidRPr="00FA3AB1">
        <w:rPr>
          <w:i/>
          <w:iCs/>
        </w:rPr>
        <w:lastRenderedPageBreak/>
        <w:t>H</w:t>
      </w:r>
      <w:r w:rsidRPr="00FA3AB1">
        <w:rPr>
          <w:i/>
          <w:iCs/>
          <w:vertAlign w:val="subscript"/>
        </w:rPr>
        <w:t>1</w:t>
      </w:r>
      <w:r w:rsidRPr="00FA3AB1">
        <w:rPr>
          <w:i/>
          <w:iCs/>
        </w:rPr>
        <w:t>: There is a significant relationship between adoption of technology and customer satisfaction of takaful products</w:t>
      </w:r>
    </w:p>
    <w:p w14:paraId="1D5B2F85" w14:textId="5D45EB07" w:rsidR="00FA3AB1" w:rsidRPr="00FA3AB1" w:rsidRDefault="00FA3AB1" w:rsidP="00FA3AB1">
      <w:pPr>
        <w:pStyle w:val="heading2"/>
      </w:pPr>
      <w:r>
        <w:t>Product Offered</w:t>
      </w:r>
    </w:p>
    <w:p w14:paraId="519E1A50" w14:textId="43F99EF6" w:rsidR="00FA3AB1" w:rsidRPr="00FA3AB1" w:rsidRDefault="00FA3AB1" w:rsidP="00FA3AB1">
      <w:pPr>
        <w:ind w:firstLine="0"/>
        <w:rPr>
          <w:strike/>
          <w:color w:val="FF0000"/>
        </w:rPr>
      </w:pPr>
      <w:r>
        <w:t xml:space="preserve">Conferring to </w:t>
      </w:r>
      <w:r>
        <w:fldChar w:fldCharType="begin" w:fldLock="1"/>
      </w:r>
      <w:r>
        <w:instrText>ADDIN CSL_CITATION {"citationItems":[{"id":"ITEM-1","itemData":{"author":[{"dropping-particle":"","family":"Zain","given":"Nor Razinah Mohd","non-dropping-particle":"","parse-names":false,"suffix":""},{"dropping-particle":"","family":"Engku","given":"Engku Rabiah Adawiah","non-dropping-particle":"","parse-names":false,"suffix":""}],"container-title":"Journal of Islamic Finance","id":"ITEM-1","issue":"Special issue","issued":{"date-parts":[["2017"]]},"page":"133-141","title":"An Analysis on Islamic Social Finance for Protection and Preservation of Maqāṣ id al- Sharī‘ah Nor Razinah Binti Mohd Zain","type":"article-journal","volume":"2117"},"uris":["http://www.mendeley.com/documents/?uuid=a755fefd-07c4-482f-a2b3-3c5aac785895"]}],"mendeley":{"formattedCitation":"(Zain &amp; Engku, 2017)","manualFormatting":"Zain &amp; Engku (2017)","plainTextFormattedCitation":"(Zain &amp; Engku, 2017)","previouslyFormattedCitation":"(Zain &amp; Engku, 2017)"},"properties":{"noteIndex":0},"schema":"https://github.com/citation-style-language/schema/raw/master/csl-citation.json"}</w:instrText>
      </w:r>
      <w:r>
        <w:fldChar w:fldCharType="separate"/>
      </w:r>
      <w:r>
        <w:rPr>
          <w:noProof/>
        </w:rPr>
        <w:t>Zain &amp; Engku (2017)</w:t>
      </w:r>
      <w:r>
        <w:fldChar w:fldCharType="end"/>
      </w:r>
      <w:r>
        <w:t xml:space="preserve">, the counterpart of takaful does not comply with the requirements of sharia since there are uncertainty and gambling elements in its operations. Due to its sharia compliant, Islamic insurance is able to provide products that meet the need of customer by replacing the conventional insurance. </w:t>
      </w:r>
      <w:r>
        <w:fldChar w:fldCharType="begin" w:fldLock="1"/>
      </w:r>
      <w:r>
        <w:instrText>ADDIN CSL_CITATION {"citationItems":[{"id":"ITEM-1","itemData":{"ISSN":"1018-046X","abstract":"Since the enactment of the Takaful Act 1984, Malaysia’s Takaful industry has been achieving momentum and increasingly recognized as a signifi cant contributor to Malaysia’s overall Islamic fi nancial system. Hence, for continuing future progress in fi - nancial industry’s rapid development, Malaysian government through Bank Negara Malaysia (BNM), invites fi nancial institution across the world to establish Takaful and retakaful operations in Malaysia to conduct foreign currency business. Nowadays, Muslim’s consumers have the option to choose either Takaful or conventional insurance product. In addition, based on the nature of Takaful product descriptions, it has a higher preference since it is Syariah compliant which align with the Islamic regulation. However, the concept of Takaful is still vague to many people even to the Muslim because there is no proper explanation to educate them on lot of hidden advantages of it. Therefore, this study investigates the causal relationship between consumer awareness, perception and religiosity towards Muslim’s consumer preferences on Takaful product. Primary data were collected through series of questions in a questionnaire that were distributed among Muslim’s Takaful customers of selected Takaful agencies. Analysis on the collected data was performed through confi rmatory factor analysis (CFA) and structural equation modelling (SEM) using lavaan package in R software. A CFA result show fi t indices that met the recommended values criteria. In addition, the path analysis in SEM reports that two out of three independent variables are signifi cant contributors to Muslim’s customers’ preferences towards Takaful.","author":[{"dropping-particle":"","family":"Mansor","given":"Kamarul Ariffin","non-dropping-particle":"","parse-names":false,"suffix":""}],"container-title":"Revista Română de Statistică","id":"ITEM-1","issue":"2","issued":{"date-parts":[["2015"]]},"page":"78-89","title":"A Study on Factors Influencing Muslim’s Consumers Preferences Towards Takaful Products In Malaysia","type":"article-journal","volume":"63"},"uris":["http://www.mendeley.com/documents/?uuid=6b54ec48-1c5b-4684-ad8c-0ce6647c1355"]}],"mendeley":{"formattedCitation":"(Mansor, 2015)","manualFormatting":"Mansor (2015)","plainTextFormattedCitation":"(Mansor, 2015)","previouslyFormattedCitation":"(Mansor, 2015)"},"properties":{"noteIndex":0},"schema":"https://github.com/citation-style-language/schema/raw/master/csl-citation.json"}</w:instrText>
      </w:r>
      <w:r>
        <w:fldChar w:fldCharType="separate"/>
      </w:r>
      <w:r>
        <w:rPr>
          <w:noProof/>
        </w:rPr>
        <w:t>Mansor (2015)</w:t>
      </w:r>
      <w:r>
        <w:fldChar w:fldCharType="end"/>
      </w:r>
      <w:r>
        <w:t xml:space="preserve">, critically analyzed on customers’ preference in takaful products and the result found that Muslim consumers tend to have high positive attitude towards takaful product based on religious factor. As proven by </w:t>
      </w:r>
      <w:r>
        <w:fldChar w:fldCharType="begin" w:fldLock="1"/>
      </w:r>
      <w:r w:rsidR="002057B3">
        <w:instrText>ADDIN CSL_CITATION {"citationItems":[{"id":"ITEM-1","itemData":{"DOI":"10.30845/ijbss.v9n11p6","ISSN":"22191933","abstract":"Insurance, nowadays, is no longer a luxury rather a necessity. Government regulations and employment are two very important factors that contribute to the huge overall growth of the insurance industry because they force general public to buy it. The concept behind conventional insurance is contrary to the principles of Islam and socio-ethical perspective. The purpose of Shari’ah is to create and maintain a harmonious social environment by moulding our conducts in all aspects of our ritual and daily life.Takaful industry remains to be relevant even after three decades of its introduction due to the continuous demands from the multiracial and multi-ethnic participants from various backgrounds. The said industry celebrates the contributions of their stakeholders, namely the Takaful operators, Shari’ah advisors and the participants or customers. Additional credit for the progressive development of Takaful industry goes to the consistent guidelines from the regulators. However, one factor that hinders further development of Takaful industry is the lack of awareness of its presence and purpose in Malaysian market. Therefore, this paper was designed to examine the knowledge and awareness of Takaful among Malaysian consumers in Malaysia by collecting primary data through survey questionnaires. Out of the 600 questionnaires that were sent to consumers in greater Malaysia i.e. Kuala Lumpur and Selangor, we received 503 questionnaires. Random selection was used to select the sample from the known population. The findings show that out of the 503 respondents, 124 have no knowledge of Takaful and 45% are not aware that Takaful policy holders share risks mutually. Also, 33.2, %, 38.8% and 37.2% do not know that Takaful is free from gambling, uncertainty, and interest.70.2% respondents, however, think that Takaful products comply with Shari’ah","author":[{"dropping-particle":"","family":"Hassan","given":"Rusni","non-dropping-particle":"","parse-names":false,"suffix":""},{"dropping-particle":"","family":"Salman","given":"Syed Ahmed","non-dropping-particle":"","parse-names":false,"suffix":""},{"dropping-particle":"","family":"Kassim","given":"Salina","non-dropping-particle":"","parse-names":false,"suffix":""},{"dropping-particle":"","family":"Majdi","given":"Hafiz","non-dropping-particle":"","parse-names":false,"suffix":""}],"container-title":"International Journal of Business and Social Science","id":"ITEM-1","issue":"11","issued":{"date-parts":[["2018"]]},"title":"Awareness and Knowledge of Takaful in Malaysia: A Survey of Malaysian Consumers","type":"article-journal","volume":"9"},"uris":["http://www.mendeley.com/documents/?uuid=f62c067b-16c1-4559-8c14-34134c7b2b8d"]}],"mendeley":{"formattedCitation":"(Hassan et al., 2018)","manualFormatting":"Hassan, Salman, Kassim, &amp; Majdi (2018)","plainTextFormattedCitation":"(Hassan et al., 2018)","previouslyFormattedCitation":"(Hassan et al., 2018)"},"properties":{"noteIndex":0},"schema":"https://github.com/citation-style-language/schema/raw/master/csl-citation.json"}</w:instrText>
      </w:r>
      <w:r>
        <w:fldChar w:fldCharType="separate"/>
      </w:r>
      <w:r>
        <w:rPr>
          <w:noProof/>
        </w:rPr>
        <w:t>Hassan, Salman, Kassim, &amp; Majdi (2018)</w:t>
      </w:r>
      <w:r>
        <w:fldChar w:fldCharType="end"/>
      </w:r>
      <w:r>
        <w:t>, 70% of respondents do aware that takaful is shariah compliance.</w:t>
      </w:r>
      <w:r>
        <w:rPr>
          <w:strike/>
        </w:rPr>
        <w:t xml:space="preserve"> </w:t>
      </w:r>
    </w:p>
    <w:p w14:paraId="3964539E" w14:textId="0983B4CA" w:rsidR="00FA3AB1" w:rsidRDefault="00FA3AB1" w:rsidP="00FA3AB1">
      <w:r>
        <w:t xml:space="preserve">On the other hand, </w:t>
      </w:r>
      <w:r>
        <w:fldChar w:fldCharType="begin" w:fldLock="1"/>
      </w:r>
      <w:r>
        <w:instrText>ADDIN CSL_CITATION {"citationItems":[{"id":"ITEM-1","itemData":{"DOI":"10.12816/0024362","ISSN":"22208291","author":[{"dropping-particle":"","family":"Mohamed","given":"Omaima Eltahir Babikir","non-dropping-particle":"","parse-names":false,"suffix":""},{"dropping-particle":"","family":"Alhabshi","given":"Syed Othman","non-dropping-particle":"","parse-names":false,"suffix":""}],"container-title":"The International Journal of Excellence in Islamic Banking and Finance","id":"ITEM-1","issue":"1","issued":{"date-parts":[["2016"]]},"page":"1-13","title":"Factors Influencing the Penetration Rate of Malaysian Takāful Industry from Takāful Managers' Perspective","type":"article-journal","volume":"5"},"uris":["http://www.mendeley.com/documents/?uuid=963f32fa-6b00-4cea-a4cc-3e416f6f7685"]}],"mendeley":{"formattedCitation":"(Mohamed &amp; Alhabshi, 2016)","manualFormatting":"Mohamed &amp; Alhabshi (2016)","plainTextFormattedCitation":"(Mohamed &amp; Alhabshi, 2016)","previouslyFormattedCitation":"(Mohamed &amp; Alhabshi, 2016)"},"properties":{"noteIndex":0},"schema":"https://github.com/citation-style-language/schema/raw/master/csl-citation.json"}</w:instrText>
      </w:r>
      <w:r>
        <w:fldChar w:fldCharType="separate"/>
      </w:r>
      <w:r>
        <w:rPr>
          <w:noProof/>
        </w:rPr>
        <w:t>Mohamed &amp; Alhabshi (2016)</w:t>
      </w:r>
      <w:r>
        <w:fldChar w:fldCharType="end"/>
      </w:r>
      <w:r>
        <w:t xml:space="preserve"> said limited product varieties will discourage Malaysian to participate. Therefore, there is a need for a range of takaful products in the market to suitably follow the demand and needs of an individual. </w:t>
      </w:r>
      <w:r>
        <w:fldChar w:fldCharType="begin" w:fldLock="1"/>
      </w:r>
      <w:r>
        <w:instrText>ADDIN CSL_CITATION {"citationItems":[{"id":"ITEM-1","itemData":{"author":[{"dropping-particle":"","family":"Zarunnaim","given":"Muhammad","non-dropping-particle":"","parse-names":false,"suffix":""},{"dropping-particle":"","family":"Wahab","given":"Haji","non-dropping-particle":"","parse-names":false,"suffix":""}],"container-title":"International Journal of Banking and Finance","id":"ITEM-1","issue":"1","issued":{"date-parts":[["2018"]]},"page":"95-116","title":"The roles of health awareness and knowledge in medical takaful purchase intention","type":"article-journal","volume":"14"},"uris":["http://www.mendeley.com/documents/?uuid=992e85e0-3b22-4ecc-b862-c02c1bad42c4"]}],"mendeley":{"formattedCitation":"(Zarunnaim &amp; Wahab, 2018)","manualFormatting":"Zarunnaim &amp; Wahab (2018)","plainTextFormattedCitation":"(Zarunnaim &amp; Wahab, 2018)","previouslyFormattedCitation":"(Zarunnaim &amp; Wahab, 2018)"},"properties":{"noteIndex":0},"schema":"https://github.com/citation-style-language/schema/raw/master/csl-citation.json"}</w:instrText>
      </w:r>
      <w:r>
        <w:fldChar w:fldCharType="separate"/>
      </w:r>
      <w:r>
        <w:rPr>
          <w:noProof/>
        </w:rPr>
        <w:t>Zarunnaim &amp; Wahab (2018)</w:t>
      </w:r>
      <w:r>
        <w:fldChar w:fldCharType="end"/>
      </w:r>
      <w:r>
        <w:t xml:space="preserve"> thought, it is vital for takaful operators to provide diverse and unique medical schemes to cater the needs for different category of groups; mature and young people. </w:t>
      </w:r>
      <w:r>
        <w:fldChar w:fldCharType="begin" w:fldLock="1"/>
      </w:r>
      <w:r w:rsidR="002057B3">
        <w:instrText>ADDIN CSL_CITATION {"citationItems":[{"id":"ITEM-1","itemData":{"DOI":"10.1088/1742-6596/1179/1/012082","ISSN":"17426596","abstract":"This study is focusing on improvement a new Group Personal Accident (GPA) model by study the weakness and strength of existing model. Judging from the gap in the existing Group Personal Accident in mostly oil &amp; gas Company, essentially this research was conducted with a focus scope on Oil and Gas Company in Malaysia for improvement Service Quality of Takaful Company and more beneficial on Safety at workplace to employee.","author":[{"dropping-particle":"","family":"Shafieza Sazali","given":"Noor Emmiey","non-dropping-particle":"","parse-names":false,"suffix":""},{"dropping-particle":"","family":"Ghazali","given":"Puspa Liza","non-dropping-particle":"","parse-names":false,"suffix":""},{"dropping-particle":"","family":"Awang","given":"Zainuddin","non-dropping-particle":"","parse-names":false,"suffix":""}],"container-title":"Journal of Physics: Conference Series","id":"ITEM-1","issue":"1","issued":{"date-parts":[["2019"]]},"title":"The Weakness and Strength of Existing Takaful Model in Oil &amp; Gas Sector","type":"article-journal","volume":"1179"},"uris":["http://www.mendeley.com/documents/?uuid=64bdb289-82b1-446f-8da6-08895400101b"]}],"mendeley":{"formattedCitation":"(Shafieza Sazali et al., 2019)","manualFormatting":"Shafieza Sazali, Ghazali, &amp; Awang (2019)","plainTextFormattedCitation":"(Shafieza Sazali et al., 2019)","previouslyFormattedCitation":"(Shafieza Sazali et al., 2019)"},"properties":{"noteIndex":0},"schema":"https://github.com/citation-style-language/schema/raw/master/csl-citation.json"}</w:instrText>
      </w:r>
      <w:r>
        <w:fldChar w:fldCharType="separate"/>
      </w:r>
      <w:r>
        <w:rPr>
          <w:noProof/>
        </w:rPr>
        <w:t>Shafieza Sazali, Ghazali, &amp; Awang (2019)</w:t>
      </w:r>
      <w:r>
        <w:fldChar w:fldCharType="end"/>
      </w:r>
      <w:r>
        <w:t xml:space="preserve">, proposed a model for group personal accident plan to those who are working in oil and gas industry, as they claimed that the existing model only focus on an employee alone with limited coverage and not for all the family members. Subsequently, a homogenous product and great service provided by takaful operators will significantly impact to their customer satisfaction  </w:t>
      </w:r>
      <w:r>
        <w:fldChar w:fldCharType="begin" w:fldLock="1"/>
      </w:r>
      <w:r w:rsidR="002057B3">
        <w:instrText>ADDIN CSL_CITATION {"citationItems":[{"id":"ITEM-1","itemData":{"DOI":"10.17576/pengurusan-2018-54-16","ISSN":"01272713","abstract":"This study investigates the pertinent components of satisfaction variables that could help the Takaful Insurance to identify and prioritise ways to gain customers. The study employed a quantitative research approach by conducting surveys through questionnaires to respondents from two universities in Malaysia. The findings from the research proved that service quality and the role of agents are significant towards the determinants of customer satisfaction in Takaful insurance services. However, the performances of the takaful operators are found to be insignificant to the service quality. In conclusion, takaful operators need to improve and strengthen their service quality and the role of their agents as well. As for the performance of these takaful operators, customers do not rely much on it, and takaful operators should not concentrate much on this factor while offering their services.","author":[{"dropping-particle":"","family":"Shaladdin","given":"Zaida Farhan Mohd","non-dropping-particle":"","parse-names":false,"suffix":""},{"dropping-particle":"","family":"Mokhtar","given":"Mohd Zulkifli","non-dropping-particle":"","parse-names":false,"suffix":""},{"dropping-particle":"","family":"Zawawi","given":"Nur Haiza Muhammad","non-dropping-particle":"","parse-names":false,"suffix":""}],"container-title":"Jurnal Pengurusan","id":"ITEM-1","issue":"January","issued":{"date-parts":[["2018"]]},"title":"Determinants of customer satisfaction in Takaful (islamic insurance) services in Malaysia","type":"article-journal","volume":"54"},"uris":["http://www.mendeley.com/documents/?uuid=df9bbb62-a840-4892-a9ca-f96585cfdd77"]}],"mendeley":{"formattedCitation":"(Shaladdin et al., 2018)","manualFormatting":"(Shaladdin, Mokhtar, &amp; Zawawi, 2018)","plainTextFormattedCitation":"(Shaladdin et al., 2018)","previouslyFormattedCitation":"(Shaladdin et al., 2018)"},"properties":{"noteIndex":0},"schema":"https://github.com/citation-style-language/schema/raw/master/csl-citation.json"}</w:instrText>
      </w:r>
      <w:r>
        <w:fldChar w:fldCharType="separate"/>
      </w:r>
      <w:r>
        <w:rPr>
          <w:noProof/>
        </w:rPr>
        <w:t>(Shaladdin, Mokhtar, &amp; Zawawi, 2018)</w:t>
      </w:r>
      <w:r>
        <w:fldChar w:fldCharType="end"/>
      </w:r>
      <w:r>
        <w:t xml:space="preserve">. </w:t>
      </w:r>
    </w:p>
    <w:p w14:paraId="58E8A518" w14:textId="77777777" w:rsidR="00FA3AB1" w:rsidRDefault="00FA3AB1" w:rsidP="00FA3AB1">
      <w:pPr>
        <w:pStyle w:val="BodyText"/>
        <w:spacing w:before="1"/>
        <w:ind w:right="448" w:firstLine="227"/>
        <w:jc w:val="both"/>
        <w:rPr>
          <w:sz w:val="20"/>
          <w:szCs w:val="20"/>
        </w:rPr>
      </w:pPr>
    </w:p>
    <w:p w14:paraId="70127B9B" w14:textId="77777777" w:rsidR="00FA3AB1" w:rsidRPr="00FA3AB1" w:rsidRDefault="00FA3AB1" w:rsidP="00FA3AB1">
      <w:pPr>
        <w:pStyle w:val="BodyText"/>
        <w:ind w:right="446"/>
        <w:jc w:val="both"/>
        <w:rPr>
          <w:i/>
          <w:iCs/>
          <w:sz w:val="20"/>
          <w:szCs w:val="20"/>
        </w:rPr>
      </w:pPr>
      <w:r w:rsidRPr="00FA3AB1">
        <w:rPr>
          <w:i/>
          <w:iCs/>
          <w:sz w:val="20"/>
          <w:szCs w:val="20"/>
        </w:rPr>
        <w:t>H</w:t>
      </w:r>
      <w:r w:rsidRPr="00FA3AB1">
        <w:rPr>
          <w:i/>
          <w:iCs/>
          <w:sz w:val="20"/>
          <w:szCs w:val="20"/>
          <w:vertAlign w:val="subscript"/>
        </w:rPr>
        <w:t>0</w:t>
      </w:r>
      <w:r w:rsidRPr="00FA3AB1">
        <w:rPr>
          <w:i/>
          <w:iCs/>
          <w:sz w:val="20"/>
          <w:szCs w:val="20"/>
        </w:rPr>
        <w:t>: There is no significant relationship between product offered and customer satisfaction of takaful products</w:t>
      </w:r>
    </w:p>
    <w:p w14:paraId="3E983183" w14:textId="5E565E42" w:rsidR="00FA3AB1" w:rsidRPr="00FA3AB1" w:rsidRDefault="00FA3AB1" w:rsidP="00FA3AB1">
      <w:pPr>
        <w:pStyle w:val="BodyText"/>
        <w:spacing w:line="282" w:lineRule="exact"/>
        <w:rPr>
          <w:i/>
          <w:iCs/>
          <w:sz w:val="20"/>
          <w:szCs w:val="20"/>
        </w:rPr>
      </w:pPr>
      <w:r w:rsidRPr="00FA3AB1">
        <w:rPr>
          <w:rFonts w:ascii="Cambria Math" w:eastAsia="Jura" w:hAnsi="Cambria Math" w:cs="Cambria Math"/>
          <w:i/>
          <w:iCs/>
          <w:sz w:val="20"/>
          <w:szCs w:val="20"/>
        </w:rPr>
        <w:t>H</w:t>
      </w:r>
      <w:r w:rsidRPr="00FA3AB1">
        <w:rPr>
          <w:rFonts w:ascii="Cambria Math" w:eastAsia="Jura" w:hAnsi="Cambria Math" w:cs="Cambria Math"/>
          <w:i/>
          <w:iCs/>
          <w:sz w:val="20"/>
          <w:szCs w:val="20"/>
          <w:vertAlign w:val="subscript"/>
        </w:rPr>
        <w:t>2</w:t>
      </w:r>
      <w:r w:rsidRPr="00FA3AB1">
        <w:rPr>
          <w:i/>
          <w:iCs/>
          <w:sz w:val="20"/>
          <w:szCs w:val="20"/>
        </w:rPr>
        <w:t xml:space="preserve">: There is a significant relationship between product offered and customer satisfaction of takaful products </w:t>
      </w:r>
    </w:p>
    <w:p w14:paraId="5B240AE4" w14:textId="63034471" w:rsidR="00FA3AB1" w:rsidRPr="00FA3AB1" w:rsidRDefault="00FA3AB1" w:rsidP="00FA3AB1">
      <w:pPr>
        <w:pStyle w:val="heading2"/>
      </w:pPr>
      <w:r>
        <w:t>Consultancy</w:t>
      </w:r>
    </w:p>
    <w:p w14:paraId="56BC39B7" w14:textId="3D607E8D" w:rsidR="00FA3AB1" w:rsidRDefault="00FA3AB1" w:rsidP="00FA3AB1">
      <w:pPr>
        <w:pStyle w:val="BodyText"/>
        <w:ind w:right="442"/>
        <w:jc w:val="both"/>
        <w:rPr>
          <w:sz w:val="20"/>
          <w:szCs w:val="20"/>
        </w:rPr>
      </w:pPr>
      <w:r>
        <w:rPr>
          <w:sz w:val="20"/>
          <w:szCs w:val="20"/>
        </w:rPr>
        <w:t xml:space="preserve">Consultancy can be called as structural bonds between agents and customers. It can be regarded as a control to avoid for termination of relationships. This construct also helps to convince customer to remain intact with company’s services. Apart from closing deals, </w:t>
      </w:r>
      <w:r>
        <w:rPr>
          <w:sz w:val="20"/>
          <w:szCs w:val="20"/>
        </w:rPr>
        <w:fldChar w:fldCharType="begin" w:fldLock="1"/>
      </w:r>
      <w:r w:rsidR="002057B3">
        <w:rPr>
          <w:sz w:val="20"/>
          <w:szCs w:val="20"/>
        </w:rPr>
        <w:instrText>ADDIN CSL_CITATION {"citationItems":[{"id":"ITEM-1","itemData":{"DOI":"10.1108/IJBM-06-2017-0114","ISSN":"02652323","abstract":"Purpose: Foreign and local banks in Malaysia are competing in terms of skilled staff, innovative products and services, rendering quality services and customer satisfaction. The purpose of this paper is to examine the overall service quality and customer satisfaction of both foreign and local banks. Design/methodology/approach: The data used to test the hypothesis were collected from 748 foreign and local bank customers in Malaysia. The research model was analysed using a structural equation modelling technique. Findings: Results show that knowledge and staff competencies, as well as convenience of the bank is more significant for local bank customers while bank image and internet banking are important components for foreign bank customers. The results also reveal that foreign bank customers have higher satisfaction as compared to local bank customers. Research limitations/implications: No analysis is undertaken of any difference in the service quality dimensions between banks of different size. Further research on banking services could usefully test services quality dimensions across banks of different sizes. Practical implications: The findings serve as a valuable reference for local banks understand service quality challenges they may face from foreign banks in this competitive industry. Findings suggest that, to provide high-quality services, financial institutions need to heighten customer satisfaction differentiation strategies. Originality/value: The outcomes of this study enhance the knowledge on the performance of both local and foreign banks in Malaysia as well as customer satisfaction, which are invaluable to all bank managers and industry players in improving their services.","author":[{"dropping-particle":"","family":"Moghavvemi","given":"Sedigheh","non-dropping-particle":"","parse-names":false,"suffix":""},{"dropping-particle":"","family":"Lee","given":"Su Teng","non-dropping-particle":"","parse-names":false,"suffix":""},{"dropping-particle":"","family":"Lee","given":"Siew Peng","non-dropping-particle":"","parse-names":false,"suffix":""}],"container-title":"International Journal of Bank Marketing","id":"ITEM-1","issue":"5","issued":{"date-parts":[["2018"]]},"page":"908-930","title":"Perceived overall service quality and customer satisfaction: A comparative analysis between local and foreign banks in Malaysia","type":"article-journal","volume":"36"},"uris":["http://www.mendeley.com/documents/?uuid=3c817f13-0175-483f-aa34-05e04114057b"]}],"mendeley":{"formattedCitation":"(Moghavvemi et al., 2018)","manualFormatting":"Moghavvemi, Lee, &amp; Lee (2018)","plainTextFormattedCitation":"(Moghavvemi et al., 2018)","previouslyFormattedCitation":"(Moghavvemi et al., 2018)"},"properties":{"noteIndex":0},"schema":"https://github.com/citation-style-language/schema/raw/master/csl-citation.json"}</w:instrText>
      </w:r>
      <w:r>
        <w:rPr>
          <w:sz w:val="20"/>
          <w:szCs w:val="20"/>
        </w:rPr>
        <w:fldChar w:fldCharType="separate"/>
      </w:r>
      <w:r>
        <w:rPr>
          <w:noProof/>
          <w:sz w:val="20"/>
          <w:szCs w:val="20"/>
        </w:rPr>
        <w:t>Moghavvemi, Lee, &amp; Lee (2018)</w:t>
      </w:r>
      <w:r>
        <w:rPr>
          <w:sz w:val="20"/>
          <w:szCs w:val="20"/>
        </w:rPr>
        <w:fldChar w:fldCharType="end"/>
      </w:r>
      <w:r>
        <w:rPr>
          <w:sz w:val="20"/>
          <w:szCs w:val="20"/>
        </w:rPr>
        <w:t xml:space="preserve"> deliberated that a competent employee is also responsible for making continuous engagement with the customers by providing consultation. </w:t>
      </w:r>
      <w:proofErr w:type="spellStart"/>
      <w:r>
        <w:rPr>
          <w:i/>
          <w:iCs/>
          <w:sz w:val="20"/>
          <w:szCs w:val="20"/>
        </w:rPr>
        <w:t>Shura</w:t>
      </w:r>
      <w:proofErr w:type="spellEnd"/>
      <w:r>
        <w:rPr>
          <w:sz w:val="20"/>
          <w:szCs w:val="20"/>
        </w:rPr>
        <w:t xml:space="preserve"> is an Arabic word for consultation. It is defined as conducting affairs through mutual consultation and is regarded as one of Islamic values in work ethics </w:t>
      </w:r>
      <w:r>
        <w:rPr>
          <w:sz w:val="20"/>
          <w:szCs w:val="20"/>
        </w:rPr>
        <w:fldChar w:fldCharType="begin" w:fldLock="1"/>
      </w:r>
      <w:r>
        <w:rPr>
          <w:sz w:val="20"/>
          <w:szCs w:val="20"/>
        </w:rPr>
        <w:instrText>ADDIN CSL_CITATION {"citationItems":[{"id":"ITEM-1","itemData":{"DOI":"10.1108/JIABR-02-2014-0006","ISBN":"0220140006","ISSN":"17590825","abstract":"Purpose – This paper debates the Islamic perspective on the work ethics employed in an organization. It aims to discuss the issues of assumptions involving the Islamic Work Ethic (IWE). Therefore, this paper addresses the gap in the management literature and suggests a group of dimensions from fundamentals of Islam. Design/methodology/approach – The paper reviews the foundations of IWE and investigates various empirical studies conducted in several countries. Then, briefly presents a short historical and conceptual review of the work ethic construct, suggests a general conceptual definition of work ethic, and offers multidimensional model including a series of constructs which can enable researchers to evaluate and measure work ethic in Islamic societies. Findings – The study reveals that there is an evidence of ethics formulation depending on Islamic literature which constructs Islamic values for work. This paper proposes new perspective about the right ethics of work in Islam. Further, multidimensional model including 18 dimensions has been developed to evaluate work ethic in Islamic societies. Research limitations/implications – This field needs to reconsider the constructs of IWEs where it is far from reflecting Islamic theory. This paper presents new dimensions which can be utilized to enrich this area. Originality/value – This is one of the few attempts to suggest the appropriate constructs of IWE in the management literature. It provides 18 elements responsible and have the promise to strengthen individual transparency and morally which eventually enhance economic progress in Islamic world.","author":[{"dropping-particle":"","family":"Aldulaimi","given":"Saeed Hameed","non-dropping-particle":"","parse-names":false,"suffix":""}],"container-title":"Journal of Islamic Accounting and Business Research","id":"ITEM-1","issue":"1","issued":{"date-parts":[["2016"]]},"page":"59-76","title":"Fundamental Islamic perspective of work ethics","type":"article-journal","volume":"7"},"uris":["http://www.mendeley.com/documents/?uuid=fe58c87d-d132-4749-a5dc-7f27089a86e0"]}],"mendeley":{"formattedCitation":"(Aldulaimi, 2016)","plainTextFormattedCitation":"(Aldulaimi, 2016)","previouslyFormattedCitation":"(Aldulaimi, 2016)"},"properties":{"noteIndex":0},"schema":"https://github.com/citation-style-language/schema/raw/master/csl-citation.json"}</w:instrText>
      </w:r>
      <w:r>
        <w:rPr>
          <w:sz w:val="20"/>
          <w:szCs w:val="20"/>
        </w:rPr>
        <w:fldChar w:fldCharType="separate"/>
      </w:r>
      <w:r>
        <w:rPr>
          <w:noProof/>
          <w:sz w:val="20"/>
          <w:szCs w:val="20"/>
        </w:rPr>
        <w:t>(Aldulaimi, 2016)</w:t>
      </w:r>
      <w:r>
        <w:rPr>
          <w:sz w:val="20"/>
          <w:szCs w:val="20"/>
        </w:rPr>
        <w:fldChar w:fldCharType="end"/>
      </w:r>
      <w:r>
        <w:rPr>
          <w:sz w:val="20"/>
          <w:szCs w:val="20"/>
        </w:rPr>
        <w:t xml:space="preserve">.  </w:t>
      </w:r>
    </w:p>
    <w:p w14:paraId="0DFEF46E" w14:textId="1C41AB55" w:rsidR="00FA3AB1" w:rsidRDefault="00FA3AB1" w:rsidP="00FA3AB1">
      <w:pPr>
        <w:pStyle w:val="BodyText"/>
        <w:ind w:right="444" w:firstLine="227"/>
        <w:jc w:val="both"/>
        <w:rPr>
          <w:sz w:val="20"/>
          <w:szCs w:val="20"/>
        </w:rPr>
      </w:pPr>
      <w:r>
        <w:rPr>
          <w:sz w:val="20"/>
          <w:szCs w:val="20"/>
        </w:rPr>
        <w:t>Agents</w:t>
      </w:r>
      <w:r>
        <w:rPr>
          <w:spacing w:val="-9"/>
          <w:sz w:val="20"/>
          <w:szCs w:val="20"/>
        </w:rPr>
        <w:t xml:space="preserve"> </w:t>
      </w:r>
      <w:r>
        <w:rPr>
          <w:sz w:val="20"/>
          <w:szCs w:val="20"/>
        </w:rPr>
        <w:t>are</w:t>
      </w:r>
      <w:r>
        <w:rPr>
          <w:spacing w:val="-8"/>
          <w:sz w:val="20"/>
          <w:szCs w:val="20"/>
        </w:rPr>
        <w:t xml:space="preserve"> </w:t>
      </w:r>
      <w:r>
        <w:rPr>
          <w:sz w:val="20"/>
          <w:szCs w:val="20"/>
        </w:rPr>
        <w:t>representatives</w:t>
      </w:r>
      <w:r>
        <w:rPr>
          <w:spacing w:val="-5"/>
          <w:sz w:val="20"/>
          <w:szCs w:val="20"/>
        </w:rPr>
        <w:t xml:space="preserve"> </w:t>
      </w:r>
      <w:r>
        <w:rPr>
          <w:sz w:val="20"/>
          <w:szCs w:val="20"/>
        </w:rPr>
        <w:t>to</w:t>
      </w:r>
      <w:r>
        <w:rPr>
          <w:spacing w:val="-9"/>
          <w:sz w:val="20"/>
          <w:szCs w:val="20"/>
        </w:rPr>
        <w:t xml:space="preserve"> </w:t>
      </w:r>
      <w:r>
        <w:rPr>
          <w:sz w:val="20"/>
          <w:szCs w:val="20"/>
        </w:rPr>
        <w:t>the</w:t>
      </w:r>
      <w:r>
        <w:rPr>
          <w:spacing w:val="-9"/>
          <w:sz w:val="20"/>
          <w:szCs w:val="20"/>
        </w:rPr>
        <w:t xml:space="preserve"> </w:t>
      </w:r>
      <w:r>
        <w:rPr>
          <w:sz w:val="20"/>
          <w:szCs w:val="20"/>
        </w:rPr>
        <w:t>takaful</w:t>
      </w:r>
      <w:r>
        <w:rPr>
          <w:spacing w:val="-7"/>
          <w:sz w:val="20"/>
          <w:szCs w:val="20"/>
        </w:rPr>
        <w:t xml:space="preserve"> </w:t>
      </w:r>
      <w:r>
        <w:rPr>
          <w:sz w:val="20"/>
          <w:szCs w:val="20"/>
        </w:rPr>
        <w:t>operator;</w:t>
      </w:r>
      <w:r>
        <w:rPr>
          <w:spacing w:val="-11"/>
          <w:sz w:val="20"/>
          <w:szCs w:val="20"/>
        </w:rPr>
        <w:t xml:space="preserve"> </w:t>
      </w:r>
      <w:r>
        <w:rPr>
          <w:sz w:val="20"/>
          <w:szCs w:val="20"/>
        </w:rPr>
        <w:t>thus,</w:t>
      </w:r>
      <w:r>
        <w:rPr>
          <w:spacing w:val="-7"/>
          <w:sz w:val="20"/>
          <w:szCs w:val="20"/>
        </w:rPr>
        <w:t xml:space="preserve"> </w:t>
      </w:r>
      <w:r>
        <w:rPr>
          <w:sz w:val="20"/>
          <w:szCs w:val="20"/>
        </w:rPr>
        <w:t>their</w:t>
      </w:r>
      <w:r>
        <w:rPr>
          <w:spacing w:val="-11"/>
          <w:sz w:val="20"/>
          <w:szCs w:val="20"/>
        </w:rPr>
        <w:t xml:space="preserve"> </w:t>
      </w:r>
      <w:r>
        <w:rPr>
          <w:sz w:val="20"/>
          <w:szCs w:val="20"/>
        </w:rPr>
        <w:t>image</w:t>
      </w:r>
      <w:r>
        <w:rPr>
          <w:spacing w:val="-7"/>
          <w:sz w:val="20"/>
          <w:szCs w:val="20"/>
        </w:rPr>
        <w:t xml:space="preserve"> </w:t>
      </w:r>
      <w:r>
        <w:rPr>
          <w:sz w:val="20"/>
          <w:szCs w:val="20"/>
        </w:rPr>
        <w:t>resemble</w:t>
      </w:r>
      <w:r>
        <w:rPr>
          <w:spacing w:val="-7"/>
          <w:sz w:val="20"/>
          <w:szCs w:val="20"/>
        </w:rPr>
        <w:t xml:space="preserve"> </w:t>
      </w:r>
      <w:r>
        <w:rPr>
          <w:sz w:val="20"/>
          <w:szCs w:val="20"/>
        </w:rPr>
        <w:t>company’s</w:t>
      </w:r>
      <w:r>
        <w:rPr>
          <w:spacing w:val="-8"/>
          <w:sz w:val="20"/>
          <w:szCs w:val="20"/>
        </w:rPr>
        <w:t xml:space="preserve"> </w:t>
      </w:r>
      <w:r>
        <w:rPr>
          <w:sz w:val="20"/>
          <w:szCs w:val="20"/>
        </w:rPr>
        <w:t xml:space="preserve">reputation. Hence, proper conduct and managerial ability displayed by the agent can enhance customer’s satisfaction in business dealings and by right will also impact on company’s performance </w:t>
      </w:r>
      <w:r>
        <w:rPr>
          <w:sz w:val="20"/>
          <w:szCs w:val="20"/>
        </w:rPr>
        <w:fldChar w:fldCharType="begin" w:fldLock="1"/>
      </w:r>
      <w:r>
        <w:rPr>
          <w:sz w:val="20"/>
          <w:szCs w:val="20"/>
        </w:rPr>
        <w:instrText>ADDIN CSL_CITATION {"citationItems":[{"id":"ITEM-1","itemData":{"abstract":"This study aims to investigate the managerial ability of executives' managers' role on mitigating the negative impact of real earnings management on future firm's performance. The researcher operationalizes managerial ability by using a measure developed by Demerjian, Lev, and McVay (2012). This measure captures managers' ability to efficiently convert firm resources into sales revenue relative to their industry peers. In other words, higher-ability managers are more likely to generate more sales revenue for a given set of resources compared to lower-ability managers. The researcher follows Roychowdhury (2006) and Kothari et al. (2016) to calculate abnormal sales, abnormal production costs, and abnormal discretionary expenses. To capture the total effects of three REM methods an aggregate REM that is a proxy for real earnings activities was used. Following Gunny (2010) and Huang &amp; Sun (2017) future performance proxies are ROA and operating cash flows to total assets (CFO) for the next three years each year. Using a panel sample of 605 firm-year observations from 2005 to 2015. The study concluded that there is a positive significant relationship between the managerial ability of managers and earnings management through manipulating of real operational activities.","author":[{"dropping-particle":"","family":"Hessian","given":"Mohamed ibrahim","non-dropping-particle":"","parse-names":false,"suffix":""}],"container-title":"International ‎Journal of Business Ethics and Governance","id":"ITEM-1","issue":"June 2018","issued":{"date-parts":[["2019"]]},"page":"43-80","title":"The Impact of Managerial Ability on the Relation between ‎Real Earnings Management and Future Firm’s Performance: Applied Study","type":"article-journal","volume":"1(3)"},"uris":["http://www.mendeley.com/documents/?uuid=50659a7f-3c79-40f6-8826-a6e3813f52b2"]}],"mendeley":{"formattedCitation":"(Hessian, 2019)","plainTextFormattedCitation":"(Hessian, 2019)","previouslyFormattedCitation":"(Hessian, 2019)"},"properties":{"noteIndex":0},"schema":"https://github.com/citation-style-language/schema/raw/master/csl-citation.json"}</w:instrText>
      </w:r>
      <w:r>
        <w:rPr>
          <w:sz w:val="20"/>
          <w:szCs w:val="20"/>
        </w:rPr>
        <w:fldChar w:fldCharType="separate"/>
      </w:r>
      <w:r>
        <w:rPr>
          <w:noProof/>
          <w:sz w:val="20"/>
          <w:szCs w:val="20"/>
        </w:rPr>
        <w:t>(Hessian, 2019)</w:t>
      </w:r>
      <w:r>
        <w:rPr>
          <w:sz w:val="20"/>
          <w:szCs w:val="20"/>
        </w:rPr>
        <w:fldChar w:fldCharType="end"/>
      </w:r>
      <w:r>
        <w:rPr>
          <w:sz w:val="20"/>
          <w:szCs w:val="20"/>
        </w:rPr>
        <w:t xml:space="preserve">. Customers’ attitude towards agents become positive when they receive benefits from agents and thus </w:t>
      </w:r>
      <w:r>
        <w:rPr>
          <w:sz w:val="20"/>
          <w:szCs w:val="20"/>
        </w:rPr>
        <w:lastRenderedPageBreak/>
        <w:t xml:space="preserve">the attitude of the agents’ attitude appears to be customer satisfaction criteria. Nevertheless, </w:t>
      </w:r>
      <w:r>
        <w:rPr>
          <w:sz w:val="20"/>
          <w:szCs w:val="20"/>
        </w:rPr>
        <w:fldChar w:fldCharType="begin" w:fldLock="1"/>
      </w:r>
      <w:r>
        <w:rPr>
          <w:sz w:val="20"/>
          <w:szCs w:val="20"/>
        </w:rPr>
        <w:instrText>ADDIN CSL_CITATION {"citationItems":[{"id":"ITEM-1","itemData":{"author":[{"dropping-particle":"","family":"Ekhayemhe","given":"Aigboje Joseph","non-dropping-particle":"","parse-names":false,"suffix":""},{"dropping-particle":"","family":"Oguzie","given":"Susan","non-dropping-particle":"","parse-names":false,"suffix":""}],"container-title":"Journal of Accounting and Apllied Business Research","id":"ITEM-1","issue":"1","issued":{"date-parts":[["2018"]]},"page":"1-14","title":"Assessing the Relationship between Rewards and Employees ’ Motivation in Some Selected Non-Profit Organizations in Abuja , Nigeria","type":"article-journal","volume":"1"},"uris":["http://www.mendeley.com/documents/?uuid=603a6d5b-fe12-47d2-85b5-e3bc1ddca90f"]}],"mendeley":{"formattedCitation":"(Ekhayemhe &amp; Oguzie, 2018)","manualFormatting":"Ekhayemhe &amp; Oguzie (2018)","plainTextFormattedCitation":"(Ekhayemhe &amp; Oguzie, 2018)","previouslyFormattedCitation":"(Ekhayemhe &amp; Oguzie, 2018)"},"properties":{"noteIndex":0},"schema":"https://github.com/citation-style-language/schema/raw/master/csl-citation.json"}</w:instrText>
      </w:r>
      <w:r>
        <w:rPr>
          <w:sz w:val="20"/>
          <w:szCs w:val="20"/>
        </w:rPr>
        <w:fldChar w:fldCharType="separate"/>
      </w:r>
      <w:r>
        <w:rPr>
          <w:noProof/>
          <w:sz w:val="20"/>
          <w:szCs w:val="20"/>
        </w:rPr>
        <w:t>Ekhayemhe &amp; Oguzie (2018)</w:t>
      </w:r>
      <w:r>
        <w:rPr>
          <w:sz w:val="20"/>
          <w:szCs w:val="20"/>
        </w:rPr>
        <w:fldChar w:fldCharType="end"/>
      </w:r>
      <w:r>
        <w:rPr>
          <w:sz w:val="20"/>
          <w:szCs w:val="20"/>
        </w:rPr>
        <w:t xml:space="preserve"> shares similar view with  </w:t>
      </w:r>
      <w:r>
        <w:rPr>
          <w:sz w:val="20"/>
          <w:szCs w:val="20"/>
        </w:rPr>
        <w:fldChar w:fldCharType="begin" w:fldLock="1"/>
      </w:r>
      <w:r w:rsidR="00DC3632">
        <w:rPr>
          <w:sz w:val="20"/>
          <w:szCs w:val="20"/>
        </w:rPr>
        <w:instrText>ADDIN CSL_CITATION {"citationItems":[{"id":"ITEM-1","itemData":{"abstract":"The study aimed at understanding the practice of transformational management and its role in achieving institutional excellence from the point of view of workers in the directorates of education in Hebron governorate. The study sample consisted of (103) employees. The results indicated that the degree of the practice of transformational management was medium on the total score and in all its fields. It was also found that the highest areas of transformational management practice were thought provoking, then inspirational stimulation, then the ideal effect and finally the area of individual interest. The results showed that the official/head is interested in giving incentives to change. He motivates and encourages employees, takes care of individual differences, maintains communication and communication with them, addresses difficulties with courage, gives time to listen to ideas and stimulates thought. While it turns out that the official deals unsatisfactorily with the workers, does not raise the challenge and stability, does not trust everyone, does not carry out the process of delegation. The results showed that the degree of institutional excellence in the directorates of education in Hebron governorate was medium on the overall score and in all fields. The highest areas of institutional excellence were leadership excellence, excellence in service delivery, and finally human excellence. It has also been shown that the management of the institution continuously seeks to excel in providing service to the public. While it was found that the staff did not receive remuneration appropriate to their evaluation, and the Foundation did not provide opportunities to send distinguished employees.","author":[{"dropping-particle":"","family":"Aljamal","given":"Sameer Suleiman","non-dropping-particle":"","parse-names":false,"suffix":""}],"container-title":"International Journal of Business Ethics and Governance","id":"ITEM-1","issue":"1(1)","issued":{"date-parts":[["2018"]]},"page":"64-90","title":"The Practice of Transformational Management and its Role in Achieving ‎Institutional Excellence from the Point of View of Workers in the Directorates of Education in ‎Hebron","type":"article-journal"},"uris":["http://www.mendeley.com/documents/?uuid=f167c5fd-2bed-40d1-8746-978fbcbdb3f2"]}],"mendeley":{"formattedCitation":"(Aljamal, 2018)","manualFormatting":"Aljamal (2018)","plainTextFormattedCitation":"(Aljamal, 2018)","previouslyFormattedCitation":"(Aljamal, 2018)"},"properties":{"noteIndex":0},"schema":"https://github.com/citation-style-language/schema/raw/master/csl-citation.json"}</w:instrText>
      </w:r>
      <w:r>
        <w:rPr>
          <w:sz w:val="20"/>
          <w:szCs w:val="20"/>
        </w:rPr>
        <w:fldChar w:fldCharType="separate"/>
      </w:r>
      <w:r>
        <w:rPr>
          <w:noProof/>
          <w:sz w:val="20"/>
          <w:szCs w:val="20"/>
        </w:rPr>
        <w:t>Aljamal (2018)</w:t>
      </w:r>
      <w:r>
        <w:rPr>
          <w:sz w:val="20"/>
          <w:szCs w:val="20"/>
        </w:rPr>
        <w:fldChar w:fldCharType="end"/>
      </w:r>
      <w:r>
        <w:rPr>
          <w:sz w:val="20"/>
          <w:szCs w:val="20"/>
        </w:rPr>
        <w:t xml:space="preserve">, motivation of agents to sustain in the business and continue servicing the clients are influenced by extrinsic reward from the company. </w:t>
      </w:r>
    </w:p>
    <w:p w14:paraId="08F3D65D" w14:textId="77777777" w:rsidR="00FA3AB1" w:rsidRPr="00FA3AB1" w:rsidRDefault="00FA3AB1" w:rsidP="00FA3AB1">
      <w:pPr>
        <w:pStyle w:val="BodyText"/>
        <w:ind w:right="446"/>
        <w:jc w:val="both"/>
        <w:rPr>
          <w:i/>
          <w:iCs/>
          <w:sz w:val="20"/>
          <w:szCs w:val="20"/>
        </w:rPr>
      </w:pPr>
      <w:r w:rsidRPr="00FA3AB1">
        <w:rPr>
          <w:i/>
          <w:iCs/>
          <w:sz w:val="20"/>
          <w:szCs w:val="20"/>
        </w:rPr>
        <w:t>H</w:t>
      </w:r>
      <w:r w:rsidRPr="00FA3AB1">
        <w:rPr>
          <w:i/>
          <w:iCs/>
          <w:sz w:val="20"/>
          <w:szCs w:val="20"/>
          <w:vertAlign w:val="subscript"/>
        </w:rPr>
        <w:t>0</w:t>
      </w:r>
      <w:r w:rsidRPr="00FA3AB1">
        <w:rPr>
          <w:i/>
          <w:iCs/>
          <w:sz w:val="20"/>
          <w:szCs w:val="20"/>
        </w:rPr>
        <w:t>: There is no significant relationship between consultancy and customer satisfaction of takaful products</w:t>
      </w:r>
    </w:p>
    <w:p w14:paraId="19B11B11" w14:textId="24AEEC6D" w:rsidR="00FA3AB1" w:rsidRPr="00FA3AB1" w:rsidRDefault="00FA3AB1" w:rsidP="00FA3AB1">
      <w:pPr>
        <w:pStyle w:val="BodyText"/>
        <w:ind w:right="446"/>
        <w:jc w:val="both"/>
        <w:rPr>
          <w:i/>
          <w:iCs/>
          <w:sz w:val="20"/>
          <w:szCs w:val="20"/>
        </w:rPr>
      </w:pPr>
      <w:r w:rsidRPr="00FA3AB1">
        <w:rPr>
          <w:i/>
          <w:iCs/>
          <w:sz w:val="20"/>
          <w:szCs w:val="20"/>
        </w:rPr>
        <w:t>H</w:t>
      </w:r>
      <w:r w:rsidRPr="00FA3AB1">
        <w:rPr>
          <w:i/>
          <w:iCs/>
          <w:sz w:val="20"/>
          <w:szCs w:val="20"/>
          <w:vertAlign w:val="subscript"/>
        </w:rPr>
        <w:t>3</w:t>
      </w:r>
      <w:r w:rsidRPr="00FA3AB1">
        <w:rPr>
          <w:i/>
          <w:iCs/>
          <w:sz w:val="20"/>
          <w:szCs w:val="20"/>
        </w:rPr>
        <w:t xml:space="preserve">: There is a significant relationship between consultancy and customer satisfaction of takaful products </w:t>
      </w:r>
    </w:p>
    <w:p w14:paraId="1C586804" w14:textId="4CB34C77" w:rsidR="00FA3AB1" w:rsidRDefault="00BE7294" w:rsidP="00FA3AB1">
      <w:pPr>
        <w:pStyle w:val="heading1"/>
      </w:pPr>
      <w:r>
        <w:t>Method</w:t>
      </w:r>
    </w:p>
    <w:p w14:paraId="691705B0" w14:textId="158955DD" w:rsidR="00FA3AB1" w:rsidRPr="00FA3AB1" w:rsidRDefault="00FA3AB1" w:rsidP="00FA3AB1">
      <w:pPr>
        <w:ind w:firstLine="0"/>
        <w:rPr>
          <w:sz w:val="16"/>
          <w:szCs w:val="16"/>
        </w:rPr>
      </w:pPr>
      <w:r>
        <w:t>Data collection for this study has been done through self-administered structured questionnaire. The distribution to the selected respondents were narrowed down to the existing customers of takaful products. There lies a limitation to the population of this study whereby it is supposed to be conducted for the whole population in Malaysia but restriction in time disallow the researcher to cover all the areas in a short span of time. Thus, convenient sampling techniques was adopted to the study. The unit of analysis in this study is existing Muslims participant of takaful product in Malaysia. Due to the limitation arise, sample</w:t>
      </w:r>
      <w:r>
        <w:rPr>
          <w:spacing w:val="-13"/>
        </w:rPr>
        <w:t xml:space="preserve"> </w:t>
      </w:r>
      <w:r>
        <w:t xml:space="preserve">size of 150 respondents were selected to interpret the data. Bear in mind, the result of this study is not suitable to generalize the entire population, but it may create a foundation for a larger study in the future. </w:t>
      </w:r>
    </w:p>
    <w:p w14:paraId="0B503BAE" w14:textId="50AFB096" w:rsidR="00FA3AB1" w:rsidRDefault="00FA3AB1" w:rsidP="00FA3AB1">
      <w:r>
        <w:t>The research instrument are as follows; Section A (Demographic), Section B (Dependent Variable) and Section C (Independent Variables). In this research, Section A was using nominal scale while Section B</w:t>
      </w:r>
      <w:r>
        <w:rPr>
          <w:spacing w:val="-42"/>
        </w:rPr>
        <w:t xml:space="preserve"> </w:t>
      </w:r>
      <w:r>
        <w:t>and Section</w:t>
      </w:r>
      <w:r>
        <w:rPr>
          <w:spacing w:val="-5"/>
        </w:rPr>
        <w:t xml:space="preserve"> </w:t>
      </w:r>
      <w:r>
        <w:t>C</w:t>
      </w:r>
      <w:r>
        <w:rPr>
          <w:spacing w:val="-5"/>
        </w:rPr>
        <w:t xml:space="preserve"> </w:t>
      </w:r>
      <w:r>
        <w:t>were</w:t>
      </w:r>
      <w:r>
        <w:rPr>
          <w:spacing w:val="-3"/>
        </w:rPr>
        <w:t xml:space="preserve"> </w:t>
      </w:r>
      <w:r>
        <w:t>using</w:t>
      </w:r>
      <w:r>
        <w:rPr>
          <w:spacing w:val="-4"/>
        </w:rPr>
        <w:t xml:space="preserve"> </w:t>
      </w:r>
      <w:r>
        <w:t>interval</w:t>
      </w:r>
      <w:r>
        <w:rPr>
          <w:spacing w:val="-4"/>
        </w:rPr>
        <w:t xml:space="preserve"> </w:t>
      </w:r>
      <w:r>
        <w:t>scale.</w:t>
      </w:r>
      <w:r>
        <w:rPr>
          <w:spacing w:val="-5"/>
        </w:rPr>
        <w:t xml:space="preserve"> </w:t>
      </w:r>
      <w:r>
        <w:t>More</w:t>
      </w:r>
      <w:r>
        <w:rPr>
          <w:spacing w:val="-4"/>
        </w:rPr>
        <w:t xml:space="preserve"> </w:t>
      </w:r>
      <w:r>
        <w:t>than</w:t>
      </w:r>
      <w:r>
        <w:rPr>
          <w:spacing w:val="-3"/>
        </w:rPr>
        <w:t xml:space="preserve"> </w:t>
      </w:r>
      <w:r>
        <w:t>that,</w:t>
      </w:r>
      <w:r>
        <w:rPr>
          <w:spacing w:val="-3"/>
        </w:rPr>
        <w:t xml:space="preserve"> </w:t>
      </w:r>
      <w:r>
        <w:t>Likert</w:t>
      </w:r>
      <w:r>
        <w:rPr>
          <w:spacing w:val="-4"/>
        </w:rPr>
        <w:t xml:space="preserve"> </w:t>
      </w:r>
      <w:r>
        <w:t>Scale</w:t>
      </w:r>
      <w:r>
        <w:rPr>
          <w:spacing w:val="-3"/>
        </w:rPr>
        <w:t xml:space="preserve"> </w:t>
      </w:r>
      <w:r>
        <w:t>used</w:t>
      </w:r>
      <w:r>
        <w:rPr>
          <w:spacing w:val="-4"/>
        </w:rPr>
        <w:t xml:space="preserve"> </w:t>
      </w:r>
      <w:r>
        <w:t>in</w:t>
      </w:r>
      <w:r>
        <w:rPr>
          <w:spacing w:val="-5"/>
        </w:rPr>
        <w:t xml:space="preserve"> </w:t>
      </w:r>
      <w:r>
        <w:t>Section</w:t>
      </w:r>
      <w:r>
        <w:rPr>
          <w:spacing w:val="-4"/>
        </w:rPr>
        <w:t xml:space="preserve"> </w:t>
      </w:r>
      <w:r>
        <w:t>B</w:t>
      </w:r>
      <w:r>
        <w:rPr>
          <w:spacing w:val="-5"/>
        </w:rPr>
        <w:t xml:space="preserve"> </w:t>
      </w:r>
      <w:r>
        <w:t>and</w:t>
      </w:r>
      <w:r>
        <w:rPr>
          <w:spacing w:val="-5"/>
        </w:rPr>
        <w:t xml:space="preserve"> </w:t>
      </w:r>
      <w:r>
        <w:t>Section</w:t>
      </w:r>
      <w:r>
        <w:rPr>
          <w:spacing w:val="-4"/>
        </w:rPr>
        <w:t xml:space="preserve"> </w:t>
      </w:r>
      <w:r>
        <w:t>C, 1 until 5 points (1= Strongly Disagree to 5= Strongly</w:t>
      </w:r>
      <w:r>
        <w:rPr>
          <w:spacing w:val="-1"/>
        </w:rPr>
        <w:t xml:space="preserve"> </w:t>
      </w:r>
      <w:r>
        <w:t>Agree).</w:t>
      </w:r>
    </w:p>
    <w:p w14:paraId="0805AE8C" w14:textId="29A36CBE" w:rsidR="00FA3AB1" w:rsidRDefault="00FA3AB1" w:rsidP="00FA3AB1">
      <w:r>
        <w:tab/>
        <w:t xml:space="preserve">The analysis is started by using Cronbach method for measuring reliability analysis to ensure its consistency of the questionnaire items for selected respondents. Then, </w:t>
      </w:r>
      <w:r w:rsidR="00320A0A">
        <w:t xml:space="preserve">summarization of </w:t>
      </w:r>
      <w:r>
        <w:t xml:space="preserve">respondent’s demographic profile section in Google Form application. </w:t>
      </w:r>
      <w:r w:rsidR="00320A0A">
        <w:t xml:space="preserve">Then, descriptive analysis is conducted to state and describe a variable in a phenomenon. </w:t>
      </w:r>
      <w:r>
        <w:t xml:space="preserve">Afterwards, once data were collected, the Statistical Package for the Social Science version 26 used to run the data. The result will be in form of reliability form and interpreted under Pearson Correlation method. The correlation values are ranged from -1 to 1 which is the perfect negative correlation and the perfect positive correlation. If the value is 0, thereby it means no relationship among the variables. </w:t>
      </w:r>
    </w:p>
    <w:p w14:paraId="7347B0F0" w14:textId="77777777" w:rsidR="00FA3AB1" w:rsidRDefault="00405CF6" w:rsidP="00FA3AB1">
      <w:pPr>
        <w:pStyle w:val="heading2"/>
      </w:pPr>
      <w:r w:rsidRPr="00A3000F">
        <w:t>Research framework</w:t>
      </w:r>
    </w:p>
    <w:p w14:paraId="0B81C50E" w14:textId="191FC7FB" w:rsidR="00FA3AB1" w:rsidRPr="00FA3AB1" w:rsidRDefault="00FA3AB1" w:rsidP="00FA3AB1">
      <w:pPr>
        <w:ind w:firstLine="0"/>
      </w:pPr>
      <w:r w:rsidRPr="00FA3AB1">
        <w:t>A research framework has been identified to investigate the relationship between the variables in the</w:t>
      </w:r>
      <w:r w:rsidRPr="00FA3AB1">
        <w:rPr>
          <w:spacing w:val="-10"/>
        </w:rPr>
        <w:t xml:space="preserve"> </w:t>
      </w:r>
      <w:r w:rsidRPr="00FA3AB1">
        <w:t>framework.</w:t>
      </w:r>
      <w:r w:rsidRPr="00FA3AB1">
        <w:rPr>
          <w:spacing w:val="-6"/>
        </w:rPr>
        <w:t xml:space="preserve"> </w:t>
      </w:r>
      <w:r w:rsidRPr="00FA3AB1">
        <w:t>There</w:t>
      </w:r>
      <w:r w:rsidRPr="00FA3AB1">
        <w:rPr>
          <w:spacing w:val="-10"/>
        </w:rPr>
        <w:t xml:space="preserve"> </w:t>
      </w:r>
      <w:r w:rsidRPr="00FA3AB1">
        <w:t>are</w:t>
      </w:r>
      <w:r w:rsidRPr="00FA3AB1">
        <w:rPr>
          <w:spacing w:val="-8"/>
        </w:rPr>
        <w:t xml:space="preserve"> </w:t>
      </w:r>
      <w:r w:rsidRPr="00FA3AB1">
        <w:t>three</w:t>
      </w:r>
      <w:r w:rsidRPr="00FA3AB1">
        <w:rPr>
          <w:spacing w:val="-10"/>
        </w:rPr>
        <w:t xml:space="preserve"> </w:t>
      </w:r>
      <w:r w:rsidRPr="00FA3AB1">
        <w:t>variables</w:t>
      </w:r>
      <w:r w:rsidRPr="00FA3AB1">
        <w:rPr>
          <w:spacing w:val="-5"/>
        </w:rPr>
        <w:t xml:space="preserve"> </w:t>
      </w:r>
      <w:r w:rsidRPr="00FA3AB1">
        <w:t>used</w:t>
      </w:r>
      <w:r w:rsidRPr="00FA3AB1">
        <w:rPr>
          <w:spacing w:val="-9"/>
        </w:rPr>
        <w:t xml:space="preserve"> </w:t>
      </w:r>
      <w:r w:rsidRPr="00FA3AB1">
        <w:t>to</w:t>
      </w:r>
      <w:r w:rsidRPr="00FA3AB1">
        <w:rPr>
          <w:spacing w:val="-6"/>
        </w:rPr>
        <w:t xml:space="preserve"> </w:t>
      </w:r>
      <w:r w:rsidRPr="00FA3AB1">
        <w:t>assess</w:t>
      </w:r>
      <w:r w:rsidRPr="00FA3AB1">
        <w:rPr>
          <w:spacing w:val="-8"/>
        </w:rPr>
        <w:t xml:space="preserve"> </w:t>
      </w:r>
      <w:r w:rsidRPr="00FA3AB1">
        <w:t>customers</w:t>
      </w:r>
      <w:r w:rsidRPr="00FA3AB1">
        <w:rPr>
          <w:spacing w:val="-9"/>
        </w:rPr>
        <w:t xml:space="preserve"> </w:t>
      </w:r>
      <w:r w:rsidRPr="00FA3AB1">
        <w:t>satisfaction</w:t>
      </w:r>
      <w:r w:rsidRPr="00FA3AB1">
        <w:rPr>
          <w:spacing w:val="-9"/>
        </w:rPr>
        <w:t xml:space="preserve"> </w:t>
      </w:r>
      <w:r w:rsidRPr="00FA3AB1">
        <w:t>namely</w:t>
      </w:r>
      <w:r w:rsidRPr="00FA3AB1">
        <w:rPr>
          <w:spacing w:val="-9"/>
        </w:rPr>
        <w:t xml:space="preserve"> </w:t>
      </w:r>
      <w:r w:rsidRPr="00FA3AB1">
        <w:t>technology, product offered and</w:t>
      </w:r>
      <w:r w:rsidRPr="00FA3AB1">
        <w:rPr>
          <w:spacing w:val="1"/>
        </w:rPr>
        <w:t xml:space="preserve"> </w:t>
      </w:r>
      <w:r w:rsidRPr="00FA3AB1">
        <w:t>consultancy.</w:t>
      </w:r>
    </w:p>
    <w:p w14:paraId="4310056D" w14:textId="453EE80C" w:rsidR="00405CF6" w:rsidRDefault="00405CF6" w:rsidP="00405CF6">
      <w:pPr>
        <w:pStyle w:val="BodyText"/>
        <w:spacing w:before="9"/>
      </w:pPr>
    </w:p>
    <w:p w14:paraId="58AD0BF9" w14:textId="05C628E1" w:rsidR="00405CF6" w:rsidRPr="00475AE8" w:rsidRDefault="00FA3AB1" w:rsidP="00405CF6">
      <w:pPr>
        <w:pStyle w:val="BodyText"/>
        <w:ind w:left="850"/>
        <w:rPr>
          <w:b/>
          <w:sz w:val="18"/>
          <w:szCs w:val="18"/>
        </w:rPr>
      </w:pPr>
      <w:r>
        <w:rPr>
          <w:noProof/>
        </w:rPr>
        <w:lastRenderedPageBreak/>
        <w:drawing>
          <wp:inline distT="0" distB="0" distL="0" distR="0" wp14:anchorId="1E1AF085" wp14:editId="75E3FCEC">
            <wp:extent cx="3726180" cy="1760220"/>
            <wp:effectExtent l="0" t="38100" r="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D8805A" w14:textId="77777777" w:rsidR="00FA3AB1" w:rsidRDefault="00FA3AB1" w:rsidP="00405CF6">
      <w:pPr>
        <w:pStyle w:val="BodyText"/>
        <w:ind w:firstLine="142"/>
        <w:rPr>
          <w:b/>
          <w:sz w:val="18"/>
          <w:szCs w:val="18"/>
        </w:rPr>
      </w:pPr>
    </w:p>
    <w:p w14:paraId="27EF2DA5" w14:textId="40CFA10D" w:rsidR="004E0A50" w:rsidRPr="00FA3AB1" w:rsidRDefault="00405CF6" w:rsidP="00FA3AB1">
      <w:pPr>
        <w:pStyle w:val="BodyText"/>
        <w:rPr>
          <w:bCs/>
          <w:sz w:val="18"/>
          <w:szCs w:val="18"/>
        </w:rPr>
      </w:pPr>
      <w:r w:rsidRPr="00475AE8">
        <w:rPr>
          <w:b/>
          <w:sz w:val="18"/>
          <w:szCs w:val="18"/>
        </w:rPr>
        <w:t>Fig</w:t>
      </w:r>
      <w:r w:rsidR="004E0A50" w:rsidRPr="00475AE8">
        <w:rPr>
          <w:b/>
          <w:sz w:val="18"/>
          <w:szCs w:val="18"/>
        </w:rPr>
        <w:t>.</w:t>
      </w:r>
      <w:r w:rsidRPr="00475AE8">
        <w:rPr>
          <w:b/>
          <w:sz w:val="18"/>
          <w:szCs w:val="18"/>
        </w:rPr>
        <w:t>1</w:t>
      </w:r>
      <w:r w:rsidR="004E0A50" w:rsidRPr="00475AE8">
        <w:rPr>
          <w:b/>
          <w:sz w:val="18"/>
          <w:szCs w:val="18"/>
        </w:rPr>
        <w:t>.</w:t>
      </w:r>
      <w:r w:rsidRPr="00475AE8">
        <w:rPr>
          <w:bCs/>
          <w:sz w:val="18"/>
          <w:szCs w:val="18"/>
        </w:rPr>
        <w:t xml:space="preserve"> Research Framework on </w:t>
      </w:r>
      <w:r w:rsidR="00FA3AB1">
        <w:rPr>
          <w:bCs/>
          <w:sz w:val="18"/>
          <w:szCs w:val="18"/>
        </w:rPr>
        <w:t xml:space="preserve">Customer Satisfaction on Customer Satisfaction in Takaful Products </w:t>
      </w:r>
    </w:p>
    <w:p w14:paraId="1A65C638" w14:textId="1B78B0EA" w:rsidR="00405CF6" w:rsidRPr="004E0A50" w:rsidRDefault="00263889" w:rsidP="004E0A50">
      <w:pPr>
        <w:pStyle w:val="heading1"/>
      </w:pPr>
      <w:r>
        <w:t>Results</w:t>
      </w:r>
      <w:bookmarkStart w:id="0" w:name="_GoBack"/>
      <w:bookmarkEnd w:id="0"/>
    </w:p>
    <w:p w14:paraId="2ADA5503" w14:textId="2B5E4E33" w:rsidR="00405CF6" w:rsidRDefault="00405CF6" w:rsidP="004E0A50">
      <w:pPr>
        <w:pStyle w:val="heading2"/>
      </w:pPr>
      <w:r w:rsidRPr="00DC45E0">
        <w:t xml:space="preserve">Reliability </w:t>
      </w:r>
      <w:r w:rsidR="00263889">
        <w:t>Analysis</w:t>
      </w:r>
    </w:p>
    <w:p w14:paraId="1A1171D7" w14:textId="07122C95" w:rsidR="00263889" w:rsidRPr="00263889" w:rsidRDefault="00263889" w:rsidP="00263889">
      <w:pPr>
        <w:ind w:firstLine="0"/>
        <w:rPr>
          <w:strike/>
          <w:color w:val="FF0000"/>
        </w:rPr>
      </w:pPr>
      <w:r w:rsidRPr="00263889">
        <w:t>The purpose of this analysis is to measure the consistency of the questionnaire items. The measurement of reliability is a process of managing and doing the same test more than one time over certain period with the participation of the same sample group. The questionnaire has been given to 10 respondents as a pilot test to ensure</w:t>
      </w:r>
      <w:r w:rsidRPr="00263889">
        <w:rPr>
          <w:spacing w:val="-30"/>
        </w:rPr>
        <w:t xml:space="preserve"> </w:t>
      </w:r>
      <w:r w:rsidRPr="00263889">
        <w:t>the reliability of the question before answering. The Cronbach’s Alpha is used to get</w:t>
      </w:r>
      <w:r>
        <w:t xml:space="preserve"> </w:t>
      </w:r>
      <w:r w:rsidRPr="00263889">
        <w:t>the data</w:t>
      </w:r>
      <w:r>
        <w:t xml:space="preserve"> based on the coefficient range stated in Table 1. </w:t>
      </w:r>
      <w:r w:rsidRPr="00263889">
        <w:t>The result must be above 0.6 to ensure the reliability of the questionnaire.</w:t>
      </w:r>
      <w:r>
        <w:t xml:space="preserve"> </w:t>
      </w:r>
    </w:p>
    <w:p w14:paraId="5BEABB57" w14:textId="77777777" w:rsidR="00263889" w:rsidRPr="00263889" w:rsidRDefault="00263889" w:rsidP="00263889">
      <w:pPr>
        <w:pStyle w:val="p1a"/>
      </w:pPr>
    </w:p>
    <w:p w14:paraId="61A754F5" w14:textId="2CDB2232" w:rsidR="00263889" w:rsidRPr="00263889" w:rsidRDefault="00263889" w:rsidP="00263889">
      <w:pPr>
        <w:pStyle w:val="BodyText"/>
        <w:ind w:left="170" w:right="409"/>
        <w:jc w:val="center"/>
        <w:rPr>
          <w:sz w:val="18"/>
          <w:szCs w:val="18"/>
        </w:rPr>
      </w:pPr>
      <w:r w:rsidRPr="00263889">
        <w:rPr>
          <w:b/>
          <w:sz w:val="18"/>
          <w:szCs w:val="18"/>
        </w:rPr>
        <w:t xml:space="preserve">Table 1. </w:t>
      </w:r>
      <w:r w:rsidRPr="00263889">
        <w:rPr>
          <w:sz w:val="18"/>
          <w:szCs w:val="18"/>
        </w:rPr>
        <w:t>Rule of Thumb of Cronbach’s Alpha Coefficient Range</w:t>
      </w:r>
    </w:p>
    <w:tbl>
      <w:tblPr>
        <w:tblW w:w="5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3119"/>
      </w:tblGrid>
      <w:tr w:rsidR="00263889" w:rsidRPr="00263889" w14:paraId="40EBF642" w14:textId="77777777" w:rsidTr="00263889">
        <w:trPr>
          <w:trHeight w:val="443"/>
          <w:jc w:val="center"/>
        </w:trPr>
        <w:tc>
          <w:tcPr>
            <w:tcW w:w="2689" w:type="dxa"/>
            <w:tcBorders>
              <w:top w:val="single" w:sz="4" w:space="0" w:color="000000"/>
              <w:left w:val="single" w:sz="4" w:space="0" w:color="000000"/>
              <w:bottom w:val="single" w:sz="4" w:space="0" w:color="000000"/>
              <w:right w:val="single" w:sz="4" w:space="0" w:color="000000"/>
            </w:tcBorders>
            <w:hideMark/>
          </w:tcPr>
          <w:p w14:paraId="6B732999" w14:textId="77777777" w:rsidR="00263889" w:rsidRPr="00263889" w:rsidRDefault="00263889">
            <w:pPr>
              <w:pStyle w:val="TableParagraph"/>
              <w:spacing w:line="240" w:lineRule="auto"/>
              <w:ind w:left="107"/>
              <w:rPr>
                <w:b/>
                <w:sz w:val="18"/>
                <w:szCs w:val="16"/>
              </w:rPr>
            </w:pPr>
            <w:r w:rsidRPr="00263889">
              <w:rPr>
                <w:b/>
                <w:sz w:val="18"/>
                <w:szCs w:val="16"/>
              </w:rPr>
              <w:t>Alpha coefficient range</w:t>
            </w:r>
          </w:p>
        </w:tc>
        <w:tc>
          <w:tcPr>
            <w:tcW w:w="3123" w:type="dxa"/>
            <w:tcBorders>
              <w:top w:val="single" w:sz="4" w:space="0" w:color="000000"/>
              <w:left w:val="single" w:sz="4" w:space="0" w:color="000000"/>
              <w:bottom w:val="single" w:sz="4" w:space="0" w:color="000000"/>
              <w:right w:val="single" w:sz="4" w:space="0" w:color="000000"/>
            </w:tcBorders>
            <w:hideMark/>
          </w:tcPr>
          <w:p w14:paraId="3C0FB051" w14:textId="77777777" w:rsidR="00263889" w:rsidRPr="00263889" w:rsidRDefault="00263889">
            <w:pPr>
              <w:pStyle w:val="TableParagraph"/>
              <w:spacing w:line="240" w:lineRule="auto"/>
              <w:ind w:left="107"/>
              <w:rPr>
                <w:b/>
                <w:sz w:val="18"/>
                <w:szCs w:val="16"/>
              </w:rPr>
            </w:pPr>
            <w:r w:rsidRPr="00263889">
              <w:rPr>
                <w:b/>
                <w:sz w:val="18"/>
                <w:szCs w:val="16"/>
              </w:rPr>
              <w:t>Strength of Association</w:t>
            </w:r>
          </w:p>
        </w:tc>
      </w:tr>
      <w:tr w:rsidR="00263889" w:rsidRPr="00263889" w14:paraId="36F79643" w14:textId="77777777" w:rsidTr="00263889">
        <w:trPr>
          <w:trHeight w:val="461"/>
          <w:jc w:val="center"/>
        </w:trPr>
        <w:tc>
          <w:tcPr>
            <w:tcW w:w="2689" w:type="dxa"/>
            <w:tcBorders>
              <w:top w:val="single" w:sz="4" w:space="0" w:color="000000"/>
              <w:left w:val="single" w:sz="4" w:space="0" w:color="000000"/>
              <w:bottom w:val="single" w:sz="4" w:space="0" w:color="000000"/>
              <w:right w:val="single" w:sz="4" w:space="0" w:color="000000"/>
            </w:tcBorders>
            <w:hideMark/>
          </w:tcPr>
          <w:p w14:paraId="37530BDB" w14:textId="77777777" w:rsidR="00263889" w:rsidRPr="00263889" w:rsidRDefault="00263889">
            <w:pPr>
              <w:pStyle w:val="TableParagraph"/>
              <w:spacing w:line="240" w:lineRule="auto"/>
              <w:ind w:left="107"/>
              <w:rPr>
                <w:sz w:val="18"/>
                <w:szCs w:val="16"/>
              </w:rPr>
            </w:pPr>
            <w:r w:rsidRPr="00263889">
              <w:rPr>
                <w:sz w:val="18"/>
                <w:szCs w:val="16"/>
              </w:rPr>
              <w:t>&lt;0.6</w:t>
            </w:r>
          </w:p>
        </w:tc>
        <w:tc>
          <w:tcPr>
            <w:tcW w:w="3123" w:type="dxa"/>
            <w:tcBorders>
              <w:top w:val="single" w:sz="4" w:space="0" w:color="000000"/>
              <w:left w:val="single" w:sz="4" w:space="0" w:color="000000"/>
              <w:bottom w:val="single" w:sz="4" w:space="0" w:color="000000"/>
              <w:right w:val="single" w:sz="4" w:space="0" w:color="000000"/>
            </w:tcBorders>
            <w:hideMark/>
          </w:tcPr>
          <w:p w14:paraId="07FAAE26" w14:textId="77777777" w:rsidR="00263889" w:rsidRPr="00263889" w:rsidRDefault="00263889">
            <w:pPr>
              <w:pStyle w:val="TableParagraph"/>
              <w:spacing w:line="240" w:lineRule="auto"/>
              <w:ind w:left="107"/>
              <w:rPr>
                <w:sz w:val="18"/>
                <w:szCs w:val="16"/>
              </w:rPr>
            </w:pPr>
            <w:r w:rsidRPr="00263889">
              <w:rPr>
                <w:sz w:val="18"/>
                <w:szCs w:val="16"/>
              </w:rPr>
              <w:t>Poor</w:t>
            </w:r>
          </w:p>
        </w:tc>
      </w:tr>
      <w:tr w:rsidR="00263889" w:rsidRPr="00263889" w14:paraId="59B2866B" w14:textId="77777777" w:rsidTr="00263889">
        <w:trPr>
          <w:trHeight w:val="443"/>
          <w:jc w:val="center"/>
        </w:trPr>
        <w:tc>
          <w:tcPr>
            <w:tcW w:w="2689" w:type="dxa"/>
            <w:tcBorders>
              <w:top w:val="single" w:sz="4" w:space="0" w:color="000000"/>
              <w:left w:val="single" w:sz="4" w:space="0" w:color="000000"/>
              <w:bottom w:val="single" w:sz="4" w:space="0" w:color="000000"/>
              <w:right w:val="single" w:sz="4" w:space="0" w:color="000000"/>
            </w:tcBorders>
            <w:hideMark/>
          </w:tcPr>
          <w:p w14:paraId="534C537E" w14:textId="77777777" w:rsidR="00263889" w:rsidRPr="00263889" w:rsidRDefault="00263889">
            <w:pPr>
              <w:pStyle w:val="TableParagraph"/>
              <w:spacing w:line="240" w:lineRule="auto"/>
              <w:ind w:left="107"/>
              <w:rPr>
                <w:sz w:val="18"/>
                <w:szCs w:val="16"/>
              </w:rPr>
            </w:pPr>
            <w:r w:rsidRPr="00263889">
              <w:rPr>
                <w:sz w:val="18"/>
                <w:szCs w:val="16"/>
              </w:rPr>
              <w:t>0.6 to &lt;0.7</w:t>
            </w:r>
          </w:p>
        </w:tc>
        <w:tc>
          <w:tcPr>
            <w:tcW w:w="3123" w:type="dxa"/>
            <w:tcBorders>
              <w:top w:val="single" w:sz="4" w:space="0" w:color="000000"/>
              <w:left w:val="single" w:sz="4" w:space="0" w:color="000000"/>
              <w:bottom w:val="single" w:sz="4" w:space="0" w:color="000000"/>
              <w:right w:val="single" w:sz="4" w:space="0" w:color="000000"/>
            </w:tcBorders>
            <w:hideMark/>
          </w:tcPr>
          <w:p w14:paraId="322BE9BB" w14:textId="77777777" w:rsidR="00263889" w:rsidRPr="00263889" w:rsidRDefault="00263889">
            <w:pPr>
              <w:pStyle w:val="TableParagraph"/>
              <w:spacing w:line="240" w:lineRule="auto"/>
              <w:ind w:left="107"/>
              <w:rPr>
                <w:sz w:val="18"/>
                <w:szCs w:val="16"/>
              </w:rPr>
            </w:pPr>
            <w:r w:rsidRPr="00263889">
              <w:rPr>
                <w:sz w:val="18"/>
                <w:szCs w:val="16"/>
              </w:rPr>
              <w:t>Moderate</w:t>
            </w:r>
          </w:p>
        </w:tc>
      </w:tr>
      <w:tr w:rsidR="00263889" w:rsidRPr="00263889" w14:paraId="0E2567EE" w14:textId="77777777" w:rsidTr="00263889">
        <w:trPr>
          <w:trHeight w:val="443"/>
          <w:jc w:val="center"/>
        </w:trPr>
        <w:tc>
          <w:tcPr>
            <w:tcW w:w="2689" w:type="dxa"/>
            <w:tcBorders>
              <w:top w:val="single" w:sz="4" w:space="0" w:color="000000"/>
              <w:left w:val="single" w:sz="4" w:space="0" w:color="000000"/>
              <w:bottom w:val="single" w:sz="4" w:space="0" w:color="000000"/>
              <w:right w:val="single" w:sz="4" w:space="0" w:color="000000"/>
            </w:tcBorders>
            <w:hideMark/>
          </w:tcPr>
          <w:p w14:paraId="30DBAEC2" w14:textId="77777777" w:rsidR="00263889" w:rsidRPr="00263889" w:rsidRDefault="00263889">
            <w:pPr>
              <w:pStyle w:val="TableParagraph"/>
              <w:spacing w:line="240" w:lineRule="auto"/>
              <w:ind w:left="107"/>
              <w:rPr>
                <w:sz w:val="18"/>
                <w:szCs w:val="16"/>
              </w:rPr>
            </w:pPr>
            <w:r w:rsidRPr="00263889">
              <w:rPr>
                <w:sz w:val="18"/>
                <w:szCs w:val="16"/>
              </w:rPr>
              <w:t>0.7 to &lt;0.8</w:t>
            </w:r>
          </w:p>
        </w:tc>
        <w:tc>
          <w:tcPr>
            <w:tcW w:w="3123" w:type="dxa"/>
            <w:tcBorders>
              <w:top w:val="single" w:sz="4" w:space="0" w:color="000000"/>
              <w:left w:val="single" w:sz="4" w:space="0" w:color="000000"/>
              <w:bottom w:val="single" w:sz="4" w:space="0" w:color="000000"/>
              <w:right w:val="single" w:sz="4" w:space="0" w:color="000000"/>
            </w:tcBorders>
            <w:hideMark/>
          </w:tcPr>
          <w:p w14:paraId="76CC13ED" w14:textId="77777777" w:rsidR="00263889" w:rsidRPr="00263889" w:rsidRDefault="00263889">
            <w:pPr>
              <w:pStyle w:val="TableParagraph"/>
              <w:spacing w:line="240" w:lineRule="auto"/>
              <w:ind w:left="107"/>
              <w:rPr>
                <w:sz w:val="18"/>
                <w:szCs w:val="16"/>
              </w:rPr>
            </w:pPr>
            <w:r w:rsidRPr="00263889">
              <w:rPr>
                <w:sz w:val="18"/>
                <w:szCs w:val="16"/>
              </w:rPr>
              <w:t>Good</w:t>
            </w:r>
          </w:p>
        </w:tc>
      </w:tr>
      <w:tr w:rsidR="00263889" w:rsidRPr="00263889" w14:paraId="2D5636C3" w14:textId="77777777" w:rsidTr="00263889">
        <w:trPr>
          <w:trHeight w:val="444"/>
          <w:jc w:val="center"/>
        </w:trPr>
        <w:tc>
          <w:tcPr>
            <w:tcW w:w="2689" w:type="dxa"/>
            <w:tcBorders>
              <w:top w:val="single" w:sz="4" w:space="0" w:color="000000"/>
              <w:left w:val="single" w:sz="4" w:space="0" w:color="000000"/>
              <w:bottom w:val="single" w:sz="4" w:space="0" w:color="000000"/>
              <w:right w:val="single" w:sz="4" w:space="0" w:color="000000"/>
            </w:tcBorders>
            <w:hideMark/>
          </w:tcPr>
          <w:p w14:paraId="4C10E09D" w14:textId="77777777" w:rsidR="00263889" w:rsidRPr="00263889" w:rsidRDefault="00263889">
            <w:pPr>
              <w:pStyle w:val="TableParagraph"/>
              <w:spacing w:line="240" w:lineRule="auto"/>
              <w:ind w:left="107"/>
              <w:rPr>
                <w:sz w:val="18"/>
                <w:szCs w:val="16"/>
              </w:rPr>
            </w:pPr>
            <w:r w:rsidRPr="00263889">
              <w:rPr>
                <w:sz w:val="18"/>
                <w:szCs w:val="16"/>
              </w:rPr>
              <w:t>0.8 to &lt;0.9</w:t>
            </w:r>
          </w:p>
        </w:tc>
        <w:tc>
          <w:tcPr>
            <w:tcW w:w="3123" w:type="dxa"/>
            <w:tcBorders>
              <w:top w:val="single" w:sz="4" w:space="0" w:color="000000"/>
              <w:left w:val="single" w:sz="4" w:space="0" w:color="000000"/>
              <w:bottom w:val="single" w:sz="4" w:space="0" w:color="000000"/>
              <w:right w:val="single" w:sz="4" w:space="0" w:color="000000"/>
            </w:tcBorders>
            <w:hideMark/>
          </w:tcPr>
          <w:p w14:paraId="3E85C7FE" w14:textId="77777777" w:rsidR="00263889" w:rsidRPr="00263889" w:rsidRDefault="00263889">
            <w:pPr>
              <w:pStyle w:val="TableParagraph"/>
              <w:spacing w:line="240" w:lineRule="auto"/>
              <w:ind w:left="107"/>
              <w:rPr>
                <w:sz w:val="18"/>
                <w:szCs w:val="16"/>
              </w:rPr>
            </w:pPr>
            <w:r w:rsidRPr="00263889">
              <w:rPr>
                <w:sz w:val="18"/>
                <w:szCs w:val="16"/>
              </w:rPr>
              <w:t>Very good</w:t>
            </w:r>
          </w:p>
        </w:tc>
      </w:tr>
      <w:tr w:rsidR="00263889" w:rsidRPr="00263889" w14:paraId="7DD0D1A0" w14:textId="77777777" w:rsidTr="00263889">
        <w:trPr>
          <w:trHeight w:val="446"/>
          <w:jc w:val="center"/>
        </w:trPr>
        <w:tc>
          <w:tcPr>
            <w:tcW w:w="2689" w:type="dxa"/>
            <w:tcBorders>
              <w:top w:val="single" w:sz="4" w:space="0" w:color="000000"/>
              <w:left w:val="single" w:sz="4" w:space="0" w:color="000000"/>
              <w:bottom w:val="single" w:sz="4" w:space="0" w:color="000000"/>
              <w:right w:val="single" w:sz="4" w:space="0" w:color="000000"/>
            </w:tcBorders>
            <w:hideMark/>
          </w:tcPr>
          <w:p w14:paraId="5F7FA85C" w14:textId="77777777" w:rsidR="00263889" w:rsidRPr="00263889" w:rsidRDefault="00263889">
            <w:pPr>
              <w:pStyle w:val="TableParagraph"/>
              <w:spacing w:before="1" w:line="240" w:lineRule="auto"/>
              <w:ind w:left="107"/>
              <w:rPr>
                <w:sz w:val="18"/>
                <w:szCs w:val="16"/>
              </w:rPr>
            </w:pPr>
            <w:r w:rsidRPr="00263889">
              <w:rPr>
                <w:sz w:val="18"/>
                <w:szCs w:val="16"/>
              </w:rPr>
              <w:t>&gt; 0.9</w:t>
            </w:r>
          </w:p>
        </w:tc>
        <w:tc>
          <w:tcPr>
            <w:tcW w:w="3123" w:type="dxa"/>
            <w:tcBorders>
              <w:top w:val="single" w:sz="4" w:space="0" w:color="000000"/>
              <w:left w:val="single" w:sz="4" w:space="0" w:color="000000"/>
              <w:bottom w:val="single" w:sz="4" w:space="0" w:color="000000"/>
              <w:right w:val="single" w:sz="4" w:space="0" w:color="000000"/>
            </w:tcBorders>
            <w:hideMark/>
          </w:tcPr>
          <w:p w14:paraId="3F6AC33D" w14:textId="77777777" w:rsidR="00263889" w:rsidRPr="00263889" w:rsidRDefault="00263889">
            <w:pPr>
              <w:pStyle w:val="TableParagraph"/>
              <w:spacing w:before="1" w:line="240" w:lineRule="auto"/>
              <w:ind w:left="107"/>
              <w:rPr>
                <w:sz w:val="18"/>
                <w:szCs w:val="16"/>
              </w:rPr>
            </w:pPr>
            <w:r w:rsidRPr="00263889">
              <w:rPr>
                <w:sz w:val="18"/>
                <w:szCs w:val="16"/>
              </w:rPr>
              <w:t>Excellent</w:t>
            </w:r>
          </w:p>
        </w:tc>
      </w:tr>
    </w:tbl>
    <w:p w14:paraId="4F06D87E" w14:textId="266D0F6A" w:rsidR="00263889" w:rsidRDefault="00263889" w:rsidP="00263889">
      <w:pPr>
        <w:spacing w:before="90"/>
        <w:ind w:right="406" w:firstLine="0"/>
        <w:rPr>
          <w:b/>
          <w:sz w:val="18"/>
          <w:szCs w:val="14"/>
        </w:rPr>
      </w:pPr>
    </w:p>
    <w:p w14:paraId="40F52921" w14:textId="3642FFAD" w:rsidR="00263889" w:rsidRPr="00263889" w:rsidRDefault="00263889" w:rsidP="00263889">
      <w:pPr>
        <w:pStyle w:val="BodyText"/>
        <w:ind w:right="336"/>
        <w:jc w:val="both"/>
        <w:rPr>
          <w:sz w:val="20"/>
          <w:szCs w:val="20"/>
        </w:rPr>
      </w:pPr>
      <w:r>
        <w:rPr>
          <w:sz w:val="20"/>
          <w:szCs w:val="20"/>
        </w:rPr>
        <w:t>As shown in the Table 2, all variables have achieved reliability when the result of Cronbach’s Alpha is above 0.6. All the questions were measured by using Likert scale range from a scale of</w:t>
      </w:r>
      <w:r>
        <w:rPr>
          <w:spacing w:val="-31"/>
          <w:sz w:val="20"/>
          <w:szCs w:val="20"/>
        </w:rPr>
        <w:t xml:space="preserve"> </w:t>
      </w:r>
      <w:r>
        <w:rPr>
          <w:sz w:val="20"/>
          <w:szCs w:val="20"/>
        </w:rPr>
        <w:t xml:space="preserve">1 to 5 that indicates strongly disagree to strongly agree. </w:t>
      </w:r>
      <w:r>
        <w:rPr>
          <w:sz w:val="20"/>
          <w:szCs w:val="20"/>
        </w:rPr>
        <w:lastRenderedPageBreak/>
        <w:t>The alpha coefficient result for technology is 0.893, then product offered is 0.898, and consultancy is 0.910. Thus, the coefficients obtained were all</w:t>
      </w:r>
      <w:r>
        <w:rPr>
          <w:spacing w:val="-1"/>
          <w:sz w:val="20"/>
          <w:szCs w:val="20"/>
        </w:rPr>
        <w:t xml:space="preserve"> </w:t>
      </w:r>
      <w:r>
        <w:rPr>
          <w:sz w:val="20"/>
          <w:szCs w:val="20"/>
        </w:rPr>
        <w:t>reliable.</w:t>
      </w:r>
    </w:p>
    <w:p w14:paraId="54AC2CDE" w14:textId="42C8A4F4" w:rsidR="00263889" w:rsidRPr="00263889" w:rsidRDefault="00263889" w:rsidP="00263889">
      <w:pPr>
        <w:spacing w:before="90"/>
        <w:ind w:right="406" w:firstLine="0"/>
        <w:jc w:val="center"/>
        <w:rPr>
          <w:sz w:val="18"/>
          <w:szCs w:val="14"/>
        </w:rPr>
      </w:pPr>
      <w:r w:rsidRPr="00263889">
        <w:rPr>
          <w:b/>
          <w:sz w:val="18"/>
          <w:szCs w:val="14"/>
        </w:rPr>
        <w:t xml:space="preserve">Table 2. </w:t>
      </w:r>
      <w:r w:rsidRPr="00263889">
        <w:rPr>
          <w:sz w:val="18"/>
          <w:szCs w:val="14"/>
        </w:rPr>
        <w:t>Cronbach’s Alpha of Each Variable</w:t>
      </w:r>
    </w:p>
    <w:tbl>
      <w:tblPr>
        <w:tblW w:w="5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
        <w:gridCol w:w="1993"/>
        <w:gridCol w:w="1188"/>
        <w:gridCol w:w="1186"/>
        <w:gridCol w:w="1187"/>
      </w:tblGrid>
      <w:tr w:rsidR="00263889" w14:paraId="052564E2" w14:textId="77777777" w:rsidTr="00263889">
        <w:trPr>
          <w:trHeight w:val="405"/>
          <w:jc w:val="center"/>
        </w:trPr>
        <w:tc>
          <w:tcPr>
            <w:tcW w:w="386" w:type="dxa"/>
            <w:tcBorders>
              <w:top w:val="single" w:sz="4" w:space="0" w:color="000000"/>
              <w:left w:val="single" w:sz="4" w:space="0" w:color="000000"/>
              <w:bottom w:val="single" w:sz="4" w:space="0" w:color="000000"/>
              <w:right w:val="single" w:sz="4" w:space="0" w:color="000000"/>
            </w:tcBorders>
            <w:hideMark/>
          </w:tcPr>
          <w:p w14:paraId="6C422B58" w14:textId="77777777" w:rsidR="00263889" w:rsidRPr="00263889" w:rsidRDefault="00263889">
            <w:pPr>
              <w:pStyle w:val="TableParagraph"/>
              <w:spacing w:line="240" w:lineRule="auto"/>
              <w:ind w:left="107"/>
              <w:rPr>
                <w:b/>
                <w:sz w:val="18"/>
                <w:szCs w:val="16"/>
              </w:rPr>
            </w:pPr>
            <w:r w:rsidRPr="00263889">
              <w:rPr>
                <w:b/>
                <w:sz w:val="18"/>
                <w:szCs w:val="16"/>
              </w:rPr>
              <w:t>No.</w:t>
            </w:r>
          </w:p>
        </w:tc>
        <w:tc>
          <w:tcPr>
            <w:tcW w:w="1991" w:type="dxa"/>
            <w:tcBorders>
              <w:top w:val="single" w:sz="4" w:space="0" w:color="000000"/>
              <w:left w:val="single" w:sz="4" w:space="0" w:color="000000"/>
              <w:bottom w:val="single" w:sz="4" w:space="0" w:color="000000"/>
              <w:right w:val="single" w:sz="4" w:space="0" w:color="000000"/>
            </w:tcBorders>
            <w:hideMark/>
          </w:tcPr>
          <w:p w14:paraId="4185C1FC" w14:textId="77777777" w:rsidR="00263889" w:rsidRPr="00263889" w:rsidRDefault="00263889">
            <w:pPr>
              <w:pStyle w:val="TableParagraph"/>
              <w:spacing w:line="270" w:lineRule="exact"/>
              <w:ind w:left="108" w:right="77"/>
              <w:rPr>
                <w:b/>
                <w:sz w:val="18"/>
                <w:szCs w:val="16"/>
              </w:rPr>
            </w:pPr>
            <w:r w:rsidRPr="00263889">
              <w:rPr>
                <w:b/>
                <w:sz w:val="18"/>
                <w:szCs w:val="16"/>
              </w:rPr>
              <w:t>Independent Variables</w:t>
            </w:r>
          </w:p>
        </w:tc>
        <w:tc>
          <w:tcPr>
            <w:tcW w:w="1187" w:type="dxa"/>
            <w:tcBorders>
              <w:top w:val="single" w:sz="4" w:space="0" w:color="000000"/>
              <w:left w:val="single" w:sz="4" w:space="0" w:color="000000"/>
              <w:bottom w:val="single" w:sz="4" w:space="0" w:color="000000"/>
              <w:right w:val="single" w:sz="4" w:space="0" w:color="000000"/>
            </w:tcBorders>
            <w:hideMark/>
          </w:tcPr>
          <w:p w14:paraId="436FB37E" w14:textId="77777777" w:rsidR="00263889" w:rsidRPr="00263889" w:rsidRDefault="00263889">
            <w:pPr>
              <w:pStyle w:val="TableParagraph"/>
              <w:spacing w:line="240" w:lineRule="auto"/>
              <w:ind w:left="108"/>
              <w:rPr>
                <w:b/>
                <w:sz w:val="18"/>
                <w:szCs w:val="16"/>
              </w:rPr>
            </w:pPr>
            <w:r w:rsidRPr="00263889">
              <w:rPr>
                <w:b/>
                <w:sz w:val="18"/>
                <w:szCs w:val="16"/>
              </w:rPr>
              <w:t>No of cases</w:t>
            </w:r>
          </w:p>
        </w:tc>
        <w:tc>
          <w:tcPr>
            <w:tcW w:w="1185" w:type="dxa"/>
            <w:tcBorders>
              <w:top w:val="single" w:sz="4" w:space="0" w:color="000000"/>
              <w:left w:val="single" w:sz="4" w:space="0" w:color="000000"/>
              <w:bottom w:val="single" w:sz="4" w:space="0" w:color="000000"/>
              <w:right w:val="single" w:sz="4" w:space="0" w:color="000000"/>
            </w:tcBorders>
            <w:hideMark/>
          </w:tcPr>
          <w:p w14:paraId="2F45C589" w14:textId="77777777" w:rsidR="00263889" w:rsidRPr="00263889" w:rsidRDefault="00263889">
            <w:pPr>
              <w:pStyle w:val="TableParagraph"/>
              <w:spacing w:line="270" w:lineRule="exact"/>
              <w:ind w:left="109" w:right="161"/>
              <w:rPr>
                <w:b/>
                <w:sz w:val="18"/>
                <w:szCs w:val="16"/>
              </w:rPr>
            </w:pPr>
            <w:r w:rsidRPr="00263889">
              <w:rPr>
                <w:b/>
                <w:sz w:val="18"/>
                <w:szCs w:val="16"/>
              </w:rPr>
              <w:t>Cronbach’s Alpha</w:t>
            </w:r>
          </w:p>
        </w:tc>
        <w:tc>
          <w:tcPr>
            <w:tcW w:w="1186" w:type="dxa"/>
            <w:tcBorders>
              <w:top w:val="single" w:sz="4" w:space="0" w:color="000000"/>
              <w:left w:val="single" w:sz="4" w:space="0" w:color="000000"/>
              <w:bottom w:val="single" w:sz="4" w:space="0" w:color="000000"/>
              <w:right w:val="single" w:sz="4" w:space="0" w:color="000000"/>
            </w:tcBorders>
            <w:hideMark/>
          </w:tcPr>
          <w:p w14:paraId="22B7EDAA" w14:textId="77777777" w:rsidR="00263889" w:rsidRPr="00263889" w:rsidRDefault="00263889">
            <w:pPr>
              <w:pStyle w:val="TableParagraph"/>
              <w:spacing w:line="270" w:lineRule="exact"/>
              <w:ind w:left="111"/>
              <w:rPr>
                <w:b/>
                <w:sz w:val="18"/>
                <w:szCs w:val="16"/>
              </w:rPr>
            </w:pPr>
            <w:r w:rsidRPr="00263889">
              <w:rPr>
                <w:b/>
                <w:sz w:val="18"/>
                <w:szCs w:val="16"/>
              </w:rPr>
              <w:t>Strength of Association</w:t>
            </w:r>
          </w:p>
        </w:tc>
      </w:tr>
      <w:tr w:rsidR="00263889" w14:paraId="6CB999BF" w14:textId="77777777" w:rsidTr="00263889">
        <w:trPr>
          <w:trHeight w:val="199"/>
          <w:jc w:val="center"/>
        </w:trPr>
        <w:tc>
          <w:tcPr>
            <w:tcW w:w="386" w:type="dxa"/>
            <w:tcBorders>
              <w:top w:val="single" w:sz="4" w:space="0" w:color="000000"/>
              <w:left w:val="single" w:sz="4" w:space="0" w:color="000000"/>
              <w:bottom w:val="single" w:sz="4" w:space="0" w:color="000000"/>
              <w:right w:val="single" w:sz="4" w:space="0" w:color="000000"/>
            </w:tcBorders>
            <w:hideMark/>
          </w:tcPr>
          <w:p w14:paraId="069BE894" w14:textId="77777777" w:rsidR="00263889" w:rsidRPr="00263889" w:rsidRDefault="00263889">
            <w:pPr>
              <w:pStyle w:val="TableParagraph"/>
              <w:ind w:left="107"/>
              <w:rPr>
                <w:sz w:val="18"/>
                <w:szCs w:val="16"/>
              </w:rPr>
            </w:pPr>
            <w:r w:rsidRPr="00263889">
              <w:rPr>
                <w:sz w:val="18"/>
                <w:szCs w:val="16"/>
              </w:rPr>
              <w:t>1</w:t>
            </w:r>
          </w:p>
        </w:tc>
        <w:tc>
          <w:tcPr>
            <w:tcW w:w="1991" w:type="dxa"/>
            <w:tcBorders>
              <w:top w:val="single" w:sz="4" w:space="0" w:color="000000"/>
              <w:left w:val="single" w:sz="4" w:space="0" w:color="000000"/>
              <w:bottom w:val="single" w:sz="4" w:space="0" w:color="000000"/>
              <w:right w:val="single" w:sz="4" w:space="0" w:color="000000"/>
            </w:tcBorders>
            <w:hideMark/>
          </w:tcPr>
          <w:p w14:paraId="26362B44" w14:textId="77777777" w:rsidR="00263889" w:rsidRPr="00263889" w:rsidRDefault="00263889">
            <w:pPr>
              <w:pStyle w:val="TableParagraph"/>
              <w:ind w:left="0" w:right="169"/>
              <w:rPr>
                <w:sz w:val="18"/>
                <w:szCs w:val="16"/>
              </w:rPr>
            </w:pPr>
            <w:r w:rsidRPr="00263889">
              <w:rPr>
                <w:sz w:val="18"/>
                <w:szCs w:val="16"/>
              </w:rPr>
              <w:t xml:space="preserve">Adoption of  </w:t>
            </w:r>
          </w:p>
          <w:p w14:paraId="07269DB5" w14:textId="77777777" w:rsidR="00263889" w:rsidRPr="00263889" w:rsidRDefault="00263889">
            <w:pPr>
              <w:pStyle w:val="TableParagraph"/>
              <w:ind w:left="36" w:right="169"/>
              <w:rPr>
                <w:sz w:val="18"/>
                <w:szCs w:val="16"/>
              </w:rPr>
            </w:pPr>
            <w:r w:rsidRPr="00263889">
              <w:rPr>
                <w:sz w:val="18"/>
                <w:szCs w:val="16"/>
              </w:rPr>
              <w:t>Technology</w:t>
            </w:r>
          </w:p>
        </w:tc>
        <w:tc>
          <w:tcPr>
            <w:tcW w:w="1187" w:type="dxa"/>
            <w:tcBorders>
              <w:top w:val="single" w:sz="4" w:space="0" w:color="000000"/>
              <w:left w:val="single" w:sz="4" w:space="0" w:color="000000"/>
              <w:bottom w:val="single" w:sz="4" w:space="0" w:color="000000"/>
              <w:right w:val="single" w:sz="4" w:space="0" w:color="000000"/>
            </w:tcBorders>
            <w:hideMark/>
          </w:tcPr>
          <w:p w14:paraId="6F7CDF99" w14:textId="77777777" w:rsidR="00263889" w:rsidRPr="00263889" w:rsidRDefault="00263889">
            <w:pPr>
              <w:pStyle w:val="TableParagraph"/>
              <w:ind w:left="108"/>
              <w:rPr>
                <w:sz w:val="18"/>
                <w:szCs w:val="16"/>
              </w:rPr>
            </w:pPr>
            <w:r w:rsidRPr="00263889">
              <w:rPr>
                <w:sz w:val="18"/>
                <w:szCs w:val="16"/>
              </w:rPr>
              <w:t>150</w:t>
            </w:r>
          </w:p>
        </w:tc>
        <w:tc>
          <w:tcPr>
            <w:tcW w:w="1185" w:type="dxa"/>
            <w:tcBorders>
              <w:top w:val="single" w:sz="4" w:space="0" w:color="000000"/>
              <w:left w:val="single" w:sz="4" w:space="0" w:color="000000"/>
              <w:bottom w:val="single" w:sz="4" w:space="0" w:color="000000"/>
              <w:right w:val="single" w:sz="4" w:space="0" w:color="000000"/>
            </w:tcBorders>
            <w:hideMark/>
          </w:tcPr>
          <w:p w14:paraId="249AEF4A" w14:textId="77777777" w:rsidR="00263889" w:rsidRPr="00263889" w:rsidRDefault="00263889">
            <w:pPr>
              <w:pStyle w:val="TableParagraph"/>
              <w:ind w:left="109"/>
              <w:rPr>
                <w:sz w:val="18"/>
                <w:szCs w:val="16"/>
              </w:rPr>
            </w:pPr>
            <w:r w:rsidRPr="00263889">
              <w:rPr>
                <w:sz w:val="18"/>
                <w:szCs w:val="16"/>
              </w:rPr>
              <w:t>0.893</w:t>
            </w:r>
          </w:p>
        </w:tc>
        <w:tc>
          <w:tcPr>
            <w:tcW w:w="1186" w:type="dxa"/>
            <w:tcBorders>
              <w:top w:val="single" w:sz="4" w:space="0" w:color="000000"/>
              <w:left w:val="single" w:sz="4" w:space="0" w:color="000000"/>
              <w:bottom w:val="single" w:sz="4" w:space="0" w:color="000000"/>
              <w:right w:val="single" w:sz="4" w:space="0" w:color="000000"/>
            </w:tcBorders>
            <w:hideMark/>
          </w:tcPr>
          <w:p w14:paraId="66DAA35A" w14:textId="77777777" w:rsidR="00263889" w:rsidRPr="00263889" w:rsidRDefault="00263889">
            <w:pPr>
              <w:pStyle w:val="TableParagraph"/>
              <w:ind w:left="111"/>
              <w:rPr>
                <w:sz w:val="18"/>
                <w:szCs w:val="16"/>
              </w:rPr>
            </w:pPr>
            <w:r w:rsidRPr="00263889">
              <w:rPr>
                <w:sz w:val="18"/>
                <w:szCs w:val="16"/>
              </w:rPr>
              <w:t>Very good</w:t>
            </w:r>
          </w:p>
        </w:tc>
      </w:tr>
      <w:tr w:rsidR="00263889" w14:paraId="25F55B2C" w14:textId="77777777" w:rsidTr="00263889">
        <w:trPr>
          <w:trHeight w:val="405"/>
          <w:jc w:val="center"/>
        </w:trPr>
        <w:tc>
          <w:tcPr>
            <w:tcW w:w="386" w:type="dxa"/>
            <w:tcBorders>
              <w:top w:val="single" w:sz="4" w:space="0" w:color="000000"/>
              <w:left w:val="single" w:sz="4" w:space="0" w:color="000000"/>
              <w:bottom w:val="single" w:sz="4" w:space="0" w:color="000000"/>
              <w:right w:val="single" w:sz="4" w:space="0" w:color="000000"/>
            </w:tcBorders>
            <w:hideMark/>
          </w:tcPr>
          <w:p w14:paraId="274C1D5D" w14:textId="77777777" w:rsidR="00263889" w:rsidRPr="00263889" w:rsidRDefault="00263889">
            <w:pPr>
              <w:pStyle w:val="TableParagraph"/>
              <w:spacing w:before="1" w:line="240" w:lineRule="auto"/>
              <w:ind w:left="107"/>
              <w:rPr>
                <w:sz w:val="18"/>
                <w:szCs w:val="16"/>
              </w:rPr>
            </w:pPr>
            <w:r w:rsidRPr="00263889">
              <w:rPr>
                <w:sz w:val="18"/>
                <w:szCs w:val="16"/>
              </w:rPr>
              <w:t>2</w:t>
            </w:r>
          </w:p>
        </w:tc>
        <w:tc>
          <w:tcPr>
            <w:tcW w:w="1991" w:type="dxa"/>
            <w:tcBorders>
              <w:top w:val="single" w:sz="4" w:space="0" w:color="000000"/>
              <w:left w:val="single" w:sz="4" w:space="0" w:color="000000"/>
              <w:bottom w:val="single" w:sz="4" w:space="0" w:color="000000"/>
              <w:right w:val="single" w:sz="4" w:space="0" w:color="000000"/>
            </w:tcBorders>
            <w:hideMark/>
          </w:tcPr>
          <w:p w14:paraId="2E0F3EB2" w14:textId="77777777" w:rsidR="00263889" w:rsidRPr="00263889" w:rsidRDefault="00263889">
            <w:pPr>
              <w:pStyle w:val="TableParagraph"/>
              <w:spacing w:before="1" w:line="270" w:lineRule="exact"/>
              <w:ind w:left="0" w:right="624"/>
              <w:rPr>
                <w:sz w:val="18"/>
                <w:szCs w:val="16"/>
              </w:rPr>
            </w:pPr>
            <w:r w:rsidRPr="00263889">
              <w:rPr>
                <w:sz w:val="18"/>
                <w:szCs w:val="16"/>
              </w:rPr>
              <w:t>Product offered</w:t>
            </w:r>
          </w:p>
        </w:tc>
        <w:tc>
          <w:tcPr>
            <w:tcW w:w="1187" w:type="dxa"/>
            <w:tcBorders>
              <w:top w:val="single" w:sz="4" w:space="0" w:color="000000"/>
              <w:left w:val="single" w:sz="4" w:space="0" w:color="000000"/>
              <w:bottom w:val="single" w:sz="4" w:space="0" w:color="000000"/>
              <w:right w:val="single" w:sz="4" w:space="0" w:color="000000"/>
            </w:tcBorders>
            <w:hideMark/>
          </w:tcPr>
          <w:p w14:paraId="19E4F833" w14:textId="77777777" w:rsidR="00263889" w:rsidRPr="00263889" w:rsidRDefault="00263889">
            <w:pPr>
              <w:pStyle w:val="TableParagraph"/>
              <w:spacing w:before="1" w:line="240" w:lineRule="auto"/>
              <w:ind w:left="108"/>
              <w:rPr>
                <w:sz w:val="18"/>
                <w:szCs w:val="16"/>
              </w:rPr>
            </w:pPr>
            <w:r w:rsidRPr="00263889">
              <w:rPr>
                <w:sz w:val="18"/>
                <w:szCs w:val="16"/>
              </w:rPr>
              <w:t>150</w:t>
            </w:r>
          </w:p>
        </w:tc>
        <w:tc>
          <w:tcPr>
            <w:tcW w:w="1185" w:type="dxa"/>
            <w:tcBorders>
              <w:top w:val="single" w:sz="4" w:space="0" w:color="000000"/>
              <w:left w:val="single" w:sz="4" w:space="0" w:color="000000"/>
              <w:bottom w:val="single" w:sz="4" w:space="0" w:color="000000"/>
              <w:right w:val="single" w:sz="4" w:space="0" w:color="000000"/>
            </w:tcBorders>
            <w:hideMark/>
          </w:tcPr>
          <w:p w14:paraId="00128596" w14:textId="77777777" w:rsidR="00263889" w:rsidRPr="00263889" w:rsidRDefault="00263889">
            <w:pPr>
              <w:pStyle w:val="TableParagraph"/>
              <w:spacing w:before="1" w:line="240" w:lineRule="auto"/>
              <w:ind w:left="109"/>
              <w:rPr>
                <w:sz w:val="18"/>
                <w:szCs w:val="16"/>
              </w:rPr>
            </w:pPr>
            <w:r w:rsidRPr="00263889">
              <w:rPr>
                <w:sz w:val="18"/>
                <w:szCs w:val="16"/>
              </w:rPr>
              <w:t>0.898</w:t>
            </w:r>
          </w:p>
        </w:tc>
        <w:tc>
          <w:tcPr>
            <w:tcW w:w="1186" w:type="dxa"/>
            <w:tcBorders>
              <w:top w:val="single" w:sz="4" w:space="0" w:color="000000"/>
              <w:left w:val="single" w:sz="4" w:space="0" w:color="000000"/>
              <w:bottom w:val="single" w:sz="4" w:space="0" w:color="000000"/>
              <w:right w:val="single" w:sz="4" w:space="0" w:color="000000"/>
            </w:tcBorders>
            <w:hideMark/>
          </w:tcPr>
          <w:p w14:paraId="619B82CA" w14:textId="77777777" w:rsidR="00263889" w:rsidRPr="00263889" w:rsidRDefault="00263889">
            <w:pPr>
              <w:pStyle w:val="TableParagraph"/>
              <w:spacing w:before="1" w:line="240" w:lineRule="auto"/>
              <w:ind w:left="111"/>
              <w:rPr>
                <w:sz w:val="18"/>
                <w:szCs w:val="16"/>
              </w:rPr>
            </w:pPr>
            <w:r w:rsidRPr="00263889">
              <w:rPr>
                <w:sz w:val="18"/>
                <w:szCs w:val="16"/>
              </w:rPr>
              <w:t>Very good</w:t>
            </w:r>
          </w:p>
        </w:tc>
      </w:tr>
      <w:tr w:rsidR="00263889" w14:paraId="78B323F2" w14:textId="77777777" w:rsidTr="00263889">
        <w:trPr>
          <w:trHeight w:val="199"/>
          <w:jc w:val="center"/>
        </w:trPr>
        <w:tc>
          <w:tcPr>
            <w:tcW w:w="386" w:type="dxa"/>
            <w:tcBorders>
              <w:top w:val="single" w:sz="4" w:space="0" w:color="000000"/>
              <w:left w:val="single" w:sz="4" w:space="0" w:color="000000"/>
              <w:bottom w:val="single" w:sz="4" w:space="0" w:color="000000"/>
              <w:right w:val="single" w:sz="4" w:space="0" w:color="000000"/>
            </w:tcBorders>
            <w:hideMark/>
          </w:tcPr>
          <w:p w14:paraId="50B77BA7" w14:textId="77777777" w:rsidR="00263889" w:rsidRPr="00263889" w:rsidRDefault="00263889">
            <w:pPr>
              <w:pStyle w:val="TableParagraph"/>
              <w:ind w:left="107"/>
              <w:rPr>
                <w:sz w:val="18"/>
                <w:szCs w:val="16"/>
              </w:rPr>
            </w:pPr>
            <w:r w:rsidRPr="00263889">
              <w:rPr>
                <w:sz w:val="18"/>
                <w:szCs w:val="16"/>
              </w:rPr>
              <w:t>3</w:t>
            </w:r>
          </w:p>
        </w:tc>
        <w:tc>
          <w:tcPr>
            <w:tcW w:w="1991" w:type="dxa"/>
            <w:tcBorders>
              <w:top w:val="single" w:sz="4" w:space="0" w:color="000000"/>
              <w:left w:val="single" w:sz="4" w:space="0" w:color="000000"/>
              <w:bottom w:val="single" w:sz="4" w:space="0" w:color="000000"/>
              <w:right w:val="single" w:sz="4" w:space="0" w:color="000000"/>
            </w:tcBorders>
            <w:hideMark/>
          </w:tcPr>
          <w:p w14:paraId="2A0F9940" w14:textId="77777777" w:rsidR="00263889" w:rsidRPr="00263889" w:rsidRDefault="00263889">
            <w:pPr>
              <w:pStyle w:val="TableParagraph"/>
              <w:ind w:left="0" w:right="169"/>
              <w:rPr>
                <w:sz w:val="18"/>
                <w:szCs w:val="16"/>
              </w:rPr>
            </w:pPr>
            <w:r w:rsidRPr="00263889">
              <w:rPr>
                <w:sz w:val="18"/>
                <w:szCs w:val="16"/>
              </w:rPr>
              <w:t>Consultancy</w:t>
            </w:r>
          </w:p>
        </w:tc>
        <w:tc>
          <w:tcPr>
            <w:tcW w:w="1187" w:type="dxa"/>
            <w:tcBorders>
              <w:top w:val="single" w:sz="4" w:space="0" w:color="000000"/>
              <w:left w:val="single" w:sz="4" w:space="0" w:color="000000"/>
              <w:bottom w:val="single" w:sz="4" w:space="0" w:color="000000"/>
              <w:right w:val="single" w:sz="4" w:space="0" w:color="000000"/>
            </w:tcBorders>
            <w:hideMark/>
          </w:tcPr>
          <w:p w14:paraId="3376EF16" w14:textId="77777777" w:rsidR="00263889" w:rsidRPr="00263889" w:rsidRDefault="00263889">
            <w:pPr>
              <w:pStyle w:val="TableParagraph"/>
              <w:ind w:left="108"/>
              <w:rPr>
                <w:sz w:val="18"/>
                <w:szCs w:val="16"/>
              </w:rPr>
            </w:pPr>
            <w:r w:rsidRPr="00263889">
              <w:rPr>
                <w:sz w:val="18"/>
                <w:szCs w:val="16"/>
              </w:rPr>
              <w:t>50</w:t>
            </w:r>
          </w:p>
        </w:tc>
        <w:tc>
          <w:tcPr>
            <w:tcW w:w="1185" w:type="dxa"/>
            <w:tcBorders>
              <w:top w:val="single" w:sz="4" w:space="0" w:color="000000"/>
              <w:left w:val="single" w:sz="4" w:space="0" w:color="000000"/>
              <w:bottom w:val="single" w:sz="4" w:space="0" w:color="000000"/>
              <w:right w:val="single" w:sz="4" w:space="0" w:color="000000"/>
            </w:tcBorders>
            <w:hideMark/>
          </w:tcPr>
          <w:p w14:paraId="74BEF9BA" w14:textId="77777777" w:rsidR="00263889" w:rsidRPr="00263889" w:rsidRDefault="00263889">
            <w:pPr>
              <w:pStyle w:val="TableParagraph"/>
              <w:ind w:left="109"/>
              <w:rPr>
                <w:sz w:val="18"/>
                <w:szCs w:val="16"/>
              </w:rPr>
            </w:pPr>
            <w:r w:rsidRPr="00263889">
              <w:rPr>
                <w:sz w:val="18"/>
                <w:szCs w:val="16"/>
              </w:rPr>
              <w:t>0.910</w:t>
            </w:r>
          </w:p>
        </w:tc>
        <w:tc>
          <w:tcPr>
            <w:tcW w:w="1186" w:type="dxa"/>
            <w:tcBorders>
              <w:top w:val="single" w:sz="4" w:space="0" w:color="000000"/>
              <w:left w:val="single" w:sz="4" w:space="0" w:color="000000"/>
              <w:bottom w:val="single" w:sz="4" w:space="0" w:color="000000"/>
              <w:right w:val="single" w:sz="4" w:space="0" w:color="000000"/>
            </w:tcBorders>
            <w:hideMark/>
          </w:tcPr>
          <w:p w14:paraId="5D7F537F" w14:textId="77777777" w:rsidR="00263889" w:rsidRPr="00263889" w:rsidRDefault="00263889">
            <w:pPr>
              <w:pStyle w:val="TableParagraph"/>
              <w:ind w:left="111"/>
              <w:rPr>
                <w:sz w:val="18"/>
                <w:szCs w:val="16"/>
              </w:rPr>
            </w:pPr>
            <w:r w:rsidRPr="00263889">
              <w:rPr>
                <w:sz w:val="18"/>
                <w:szCs w:val="16"/>
              </w:rPr>
              <w:t>Excellent</w:t>
            </w:r>
          </w:p>
        </w:tc>
      </w:tr>
    </w:tbl>
    <w:p w14:paraId="38C4BCE2" w14:textId="4B94AB37" w:rsidR="00263889" w:rsidRDefault="00263889" w:rsidP="00263889">
      <w:pPr>
        <w:pStyle w:val="p1a"/>
      </w:pPr>
    </w:p>
    <w:p w14:paraId="217928A9" w14:textId="2F80EA71" w:rsidR="00263889" w:rsidRPr="00263889" w:rsidRDefault="00263889" w:rsidP="00263889">
      <w:pPr>
        <w:pStyle w:val="BodyText"/>
        <w:ind w:right="337"/>
        <w:jc w:val="both"/>
        <w:rPr>
          <w:sz w:val="20"/>
          <w:szCs w:val="20"/>
        </w:rPr>
      </w:pPr>
      <w:r>
        <w:rPr>
          <w:sz w:val="20"/>
          <w:szCs w:val="20"/>
        </w:rPr>
        <w:t>There were five questions asked regarding customer satisfaction. The Alpha Coefficient result</w:t>
      </w:r>
      <w:r>
        <w:rPr>
          <w:spacing w:val="-30"/>
          <w:sz w:val="20"/>
          <w:szCs w:val="20"/>
        </w:rPr>
        <w:t xml:space="preserve"> </w:t>
      </w:r>
      <w:r>
        <w:rPr>
          <w:sz w:val="20"/>
          <w:szCs w:val="20"/>
        </w:rPr>
        <w:t>for the dependent variable was 0.922 and considered excellent strength of association. Therefore, the questions asked were completely reliable and highly understood by the</w:t>
      </w:r>
      <w:r>
        <w:rPr>
          <w:spacing w:val="-5"/>
          <w:sz w:val="20"/>
          <w:szCs w:val="20"/>
        </w:rPr>
        <w:t xml:space="preserve"> </w:t>
      </w:r>
      <w:r>
        <w:rPr>
          <w:sz w:val="20"/>
          <w:szCs w:val="20"/>
        </w:rPr>
        <w:t>respondents.</w:t>
      </w:r>
    </w:p>
    <w:p w14:paraId="322B746C" w14:textId="77777777" w:rsidR="00263889" w:rsidRPr="00263889" w:rsidRDefault="00263889" w:rsidP="00263889"/>
    <w:p w14:paraId="6F90DF36" w14:textId="18269440" w:rsidR="00263889" w:rsidRPr="00263889" w:rsidRDefault="00263889" w:rsidP="00263889">
      <w:pPr>
        <w:pStyle w:val="BodyText"/>
        <w:ind w:left="270" w:right="407"/>
        <w:jc w:val="center"/>
        <w:rPr>
          <w:sz w:val="18"/>
          <w:szCs w:val="18"/>
        </w:rPr>
      </w:pPr>
      <w:r w:rsidRPr="00263889">
        <w:rPr>
          <w:b/>
          <w:sz w:val="18"/>
          <w:szCs w:val="18"/>
        </w:rPr>
        <w:t>Table 3</w:t>
      </w:r>
      <w:r>
        <w:rPr>
          <w:b/>
          <w:sz w:val="18"/>
          <w:szCs w:val="18"/>
        </w:rPr>
        <w:t>.</w:t>
      </w:r>
      <w:r w:rsidRPr="00263889">
        <w:rPr>
          <w:b/>
          <w:sz w:val="18"/>
          <w:szCs w:val="18"/>
        </w:rPr>
        <w:t xml:space="preserve"> </w:t>
      </w:r>
      <w:r w:rsidRPr="00263889">
        <w:rPr>
          <w:sz w:val="18"/>
          <w:szCs w:val="18"/>
        </w:rPr>
        <w:t>Cronbach’s Alpha of Dependent</w:t>
      </w:r>
      <w:r w:rsidRPr="00263889">
        <w:rPr>
          <w:spacing w:val="-10"/>
          <w:sz w:val="18"/>
          <w:szCs w:val="18"/>
        </w:rPr>
        <w:t xml:space="preserve"> </w:t>
      </w:r>
      <w:r w:rsidRPr="00263889">
        <w:rPr>
          <w:sz w:val="18"/>
          <w:szCs w:val="18"/>
        </w:rPr>
        <w:t>Variable</w:t>
      </w: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701"/>
        <w:gridCol w:w="850"/>
        <w:gridCol w:w="1701"/>
        <w:gridCol w:w="1331"/>
      </w:tblGrid>
      <w:tr w:rsidR="00263889" w:rsidRPr="00263889" w14:paraId="276B7648" w14:textId="77777777" w:rsidTr="00263889">
        <w:trPr>
          <w:trHeight w:val="323"/>
        </w:trPr>
        <w:tc>
          <w:tcPr>
            <w:tcW w:w="470" w:type="dxa"/>
            <w:tcBorders>
              <w:top w:val="single" w:sz="4" w:space="0" w:color="000000"/>
              <w:left w:val="single" w:sz="4" w:space="0" w:color="000000"/>
              <w:bottom w:val="single" w:sz="4" w:space="0" w:color="000000"/>
              <w:right w:val="single" w:sz="4" w:space="0" w:color="000000"/>
            </w:tcBorders>
            <w:hideMark/>
          </w:tcPr>
          <w:p w14:paraId="23CFFC53" w14:textId="77777777" w:rsidR="00263889" w:rsidRPr="00263889" w:rsidRDefault="00263889">
            <w:pPr>
              <w:pStyle w:val="TableParagraph"/>
              <w:spacing w:line="240" w:lineRule="auto"/>
              <w:ind w:left="107"/>
              <w:rPr>
                <w:b/>
                <w:sz w:val="18"/>
                <w:szCs w:val="18"/>
              </w:rPr>
            </w:pPr>
            <w:r w:rsidRPr="00263889">
              <w:rPr>
                <w:b/>
                <w:sz w:val="18"/>
                <w:szCs w:val="18"/>
              </w:rPr>
              <w:t>No</w:t>
            </w:r>
          </w:p>
        </w:tc>
        <w:tc>
          <w:tcPr>
            <w:tcW w:w="1701" w:type="dxa"/>
            <w:tcBorders>
              <w:top w:val="single" w:sz="4" w:space="0" w:color="000000"/>
              <w:left w:val="single" w:sz="4" w:space="0" w:color="000000"/>
              <w:bottom w:val="single" w:sz="4" w:space="0" w:color="000000"/>
              <w:right w:val="single" w:sz="4" w:space="0" w:color="000000"/>
            </w:tcBorders>
            <w:hideMark/>
          </w:tcPr>
          <w:p w14:paraId="7D0FD098" w14:textId="77777777" w:rsidR="00263889" w:rsidRPr="00263889" w:rsidRDefault="00263889">
            <w:pPr>
              <w:pStyle w:val="TableParagraph"/>
              <w:spacing w:before="3" w:line="276" w:lineRule="exact"/>
              <w:ind w:left="107" w:right="464"/>
              <w:rPr>
                <w:b/>
                <w:sz w:val="18"/>
                <w:szCs w:val="18"/>
              </w:rPr>
            </w:pPr>
            <w:r w:rsidRPr="00263889">
              <w:rPr>
                <w:b/>
                <w:sz w:val="18"/>
                <w:szCs w:val="18"/>
              </w:rPr>
              <w:t>Dependents Variables</w:t>
            </w:r>
          </w:p>
        </w:tc>
        <w:tc>
          <w:tcPr>
            <w:tcW w:w="850" w:type="dxa"/>
            <w:tcBorders>
              <w:top w:val="single" w:sz="4" w:space="0" w:color="000000"/>
              <w:left w:val="single" w:sz="4" w:space="0" w:color="000000"/>
              <w:bottom w:val="single" w:sz="4" w:space="0" w:color="000000"/>
              <w:right w:val="single" w:sz="4" w:space="0" w:color="000000"/>
            </w:tcBorders>
            <w:hideMark/>
          </w:tcPr>
          <w:p w14:paraId="62C24C41" w14:textId="77777777" w:rsidR="00263889" w:rsidRPr="00263889" w:rsidRDefault="00263889">
            <w:pPr>
              <w:pStyle w:val="TableParagraph"/>
              <w:spacing w:line="240" w:lineRule="auto"/>
              <w:ind w:left="108"/>
              <w:rPr>
                <w:b/>
                <w:sz w:val="18"/>
                <w:szCs w:val="18"/>
              </w:rPr>
            </w:pPr>
            <w:r w:rsidRPr="00263889">
              <w:rPr>
                <w:b/>
                <w:sz w:val="18"/>
                <w:szCs w:val="18"/>
              </w:rPr>
              <w:t>No. of cases</w:t>
            </w:r>
          </w:p>
        </w:tc>
        <w:tc>
          <w:tcPr>
            <w:tcW w:w="1701" w:type="dxa"/>
            <w:tcBorders>
              <w:top w:val="single" w:sz="4" w:space="0" w:color="000000"/>
              <w:left w:val="single" w:sz="4" w:space="0" w:color="000000"/>
              <w:bottom w:val="single" w:sz="4" w:space="0" w:color="000000"/>
              <w:right w:val="single" w:sz="4" w:space="0" w:color="000000"/>
            </w:tcBorders>
            <w:hideMark/>
          </w:tcPr>
          <w:p w14:paraId="52F44F53" w14:textId="77777777" w:rsidR="00263889" w:rsidRPr="00263889" w:rsidRDefault="00263889">
            <w:pPr>
              <w:pStyle w:val="TableParagraph"/>
              <w:spacing w:before="3" w:line="276" w:lineRule="exact"/>
              <w:ind w:left="108" w:right="463"/>
              <w:rPr>
                <w:b/>
                <w:sz w:val="18"/>
                <w:szCs w:val="18"/>
              </w:rPr>
            </w:pPr>
            <w:r w:rsidRPr="00263889">
              <w:rPr>
                <w:b/>
                <w:sz w:val="18"/>
                <w:szCs w:val="18"/>
              </w:rPr>
              <w:t>Cronbach’s Alpha</w:t>
            </w:r>
          </w:p>
        </w:tc>
        <w:tc>
          <w:tcPr>
            <w:tcW w:w="1331" w:type="dxa"/>
            <w:tcBorders>
              <w:top w:val="single" w:sz="4" w:space="0" w:color="000000"/>
              <w:left w:val="single" w:sz="4" w:space="0" w:color="000000"/>
              <w:bottom w:val="single" w:sz="4" w:space="0" w:color="000000"/>
              <w:right w:val="single" w:sz="4" w:space="0" w:color="000000"/>
            </w:tcBorders>
            <w:hideMark/>
          </w:tcPr>
          <w:p w14:paraId="01940AB5" w14:textId="77777777" w:rsidR="00263889" w:rsidRPr="00263889" w:rsidRDefault="00263889">
            <w:pPr>
              <w:pStyle w:val="TableParagraph"/>
              <w:tabs>
                <w:tab w:val="left" w:pos="1495"/>
              </w:tabs>
              <w:spacing w:before="3" w:line="276" w:lineRule="exact"/>
              <w:ind w:left="108" w:right="96"/>
              <w:rPr>
                <w:b/>
                <w:sz w:val="18"/>
                <w:szCs w:val="18"/>
              </w:rPr>
            </w:pPr>
            <w:r w:rsidRPr="00263889">
              <w:rPr>
                <w:b/>
                <w:sz w:val="18"/>
                <w:szCs w:val="18"/>
              </w:rPr>
              <w:t xml:space="preserve">Strength </w:t>
            </w:r>
            <w:r w:rsidRPr="00263889">
              <w:rPr>
                <w:b/>
                <w:spacing w:val="-9"/>
                <w:sz w:val="18"/>
                <w:szCs w:val="18"/>
              </w:rPr>
              <w:t xml:space="preserve">of </w:t>
            </w:r>
            <w:r w:rsidRPr="00263889">
              <w:rPr>
                <w:b/>
                <w:sz w:val="18"/>
                <w:szCs w:val="18"/>
              </w:rPr>
              <w:t>Association</w:t>
            </w:r>
          </w:p>
        </w:tc>
      </w:tr>
      <w:tr w:rsidR="00263889" w:rsidRPr="00263889" w14:paraId="3672386A" w14:textId="77777777" w:rsidTr="00263889">
        <w:trPr>
          <w:trHeight w:val="321"/>
        </w:trPr>
        <w:tc>
          <w:tcPr>
            <w:tcW w:w="470" w:type="dxa"/>
            <w:tcBorders>
              <w:top w:val="single" w:sz="4" w:space="0" w:color="000000"/>
              <w:left w:val="single" w:sz="4" w:space="0" w:color="000000"/>
              <w:bottom w:val="single" w:sz="4" w:space="0" w:color="000000"/>
              <w:right w:val="single" w:sz="4" w:space="0" w:color="000000"/>
            </w:tcBorders>
            <w:hideMark/>
          </w:tcPr>
          <w:p w14:paraId="60A5684B" w14:textId="77777777" w:rsidR="00263889" w:rsidRPr="00263889" w:rsidRDefault="00263889">
            <w:pPr>
              <w:pStyle w:val="TableParagraph"/>
              <w:spacing w:line="274" w:lineRule="exact"/>
              <w:ind w:left="107"/>
              <w:rPr>
                <w:sz w:val="18"/>
                <w:szCs w:val="18"/>
              </w:rPr>
            </w:pPr>
            <w:r w:rsidRPr="00263889">
              <w:rPr>
                <w:sz w:val="18"/>
                <w:szCs w:val="18"/>
              </w:rPr>
              <w:t>1</w:t>
            </w:r>
          </w:p>
        </w:tc>
        <w:tc>
          <w:tcPr>
            <w:tcW w:w="1701" w:type="dxa"/>
            <w:tcBorders>
              <w:top w:val="single" w:sz="4" w:space="0" w:color="000000"/>
              <w:left w:val="single" w:sz="4" w:space="0" w:color="000000"/>
              <w:bottom w:val="single" w:sz="4" w:space="0" w:color="000000"/>
              <w:right w:val="single" w:sz="4" w:space="0" w:color="000000"/>
            </w:tcBorders>
            <w:hideMark/>
          </w:tcPr>
          <w:p w14:paraId="449EFD2B" w14:textId="77777777" w:rsidR="00263889" w:rsidRPr="00263889" w:rsidRDefault="00263889">
            <w:pPr>
              <w:pStyle w:val="TableParagraph"/>
              <w:spacing w:before="1" w:line="276" w:lineRule="exact"/>
              <w:ind w:left="107" w:right="572"/>
              <w:rPr>
                <w:sz w:val="18"/>
                <w:szCs w:val="18"/>
              </w:rPr>
            </w:pPr>
            <w:r w:rsidRPr="00263889">
              <w:rPr>
                <w:sz w:val="18"/>
                <w:szCs w:val="18"/>
              </w:rPr>
              <w:t>Customer satisfaction</w:t>
            </w:r>
          </w:p>
        </w:tc>
        <w:tc>
          <w:tcPr>
            <w:tcW w:w="850" w:type="dxa"/>
            <w:tcBorders>
              <w:top w:val="single" w:sz="4" w:space="0" w:color="000000"/>
              <w:left w:val="single" w:sz="4" w:space="0" w:color="000000"/>
              <w:bottom w:val="single" w:sz="4" w:space="0" w:color="000000"/>
              <w:right w:val="single" w:sz="4" w:space="0" w:color="000000"/>
            </w:tcBorders>
            <w:hideMark/>
          </w:tcPr>
          <w:p w14:paraId="22633CC7" w14:textId="77777777" w:rsidR="00263889" w:rsidRPr="00263889" w:rsidRDefault="00263889">
            <w:pPr>
              <w:pStyle w:val="TableParagraph"/>
              <w:spacing w:line="274" w:lineRule="exact"/>
              <w:ind w:left="108"/>
              <w:rPr>
                <w:sz w:val="18"/>
                <w:szCs w:val="18"/>
              </w:rPr>
            </w:pPr>
            <w:r w:rsidRPr="00263889">
              <w:rPr>
                <w:sz w:val="18"/>
                <w:szCs w:val="18"/>
              </w:rPr>
              <w:t>150</w:t>
            </w:r>
          </w:p>
        </w:tc>
        <w:tc>
          <w:tcPr>
            <w:tcW w:w="1701" w:type="dxa"/>
            <w:tcBorders>
              <w:top w:val="single" w:sz="4" w:space="0" w:color="000000"/>
              <w:left w:val="single" w:sz="4" w:space="0" w:color="000000"/>
              <w:bottom w:val="single" w:sz="4" w:space="0" w:color="000000"/>
              <w:right w:val="single" w:sz="4" w:space="0" w:color="000000"/>
            </w:tcBorders>
            <w:hideMark/>
          </w:tcPr>
          <w:p w14:paraId="541F762F" w14:textId="77777777" w:rsidR="00263889" w:rsidRPr="00263889" w:rsidRDefault="00263889">
            <w:pPr>
              <w:pStyle w:val="TableParagraph"/>
              <w:spacing w:line="274" w:lineRule="exact"/>
              <w:ind w:left="108"/>
              <w:rPr>
                <w:sz w:val="18"/>
                <w:szCs w:val="18"/>
              </w:rPr>
            </w:pPr>
            <w:r w:rsidRPr="00263889">
              <w:rPr>
                <w:sz w:val="18"/>
                <w:szCs w:val="18"/>
              </w:rPr>
              <w:t>0.922</w:t>
            </w:r>
          </w:p>
        </w:tc>
        <w:tc>
          <w:tcPr>
            <w:tcW w:w="1331" w:type="dxa"/>
            <w:tcBorders>
              <w:top w:val="single" w:sz="4" w:space="0" w:color="000000"/>
              <w:left w:val="single" w:sz="4" w:space="0" w:color="000000"/>
              <w:bottom w:val="single" w:sz="4" w:space="0" w:color="000000"/>
              <w:right w:val="single" w:sz="4" w:space="0" w:color="000000"/>
            </w:tcBorders>
            <w:hideMark/>
          </w:tcPr>
          <w:p w14:paraId="5605C563" w14:textId="77777777" w:rsidR="00263889" w:rsidRPr="00263889" w:rsidRDefault="00263889">
            <w:pPr>
              <w:pStyle w:val="TableParagraph"/>
              <w:spacing w:line="274" w:lineRule="exact"/>
              <w:ind w:left="108"/>
              <w:rPr>
                <w:sz w:val="18"/>
                <w:szCs w:val="18"/>
              </w:rPr>
            </w:pPr>
            <w:r w:rsidRPr="00263889">
              <w:rPr>
                <w:sz w:val="18"/>
                <w:szCs w:val="18"/>
              </w:rPr>
              <w:t>Excellent</w:t>
            </w:r>
          </w:p>
        </w:tc>
      </w:tr>
    </w:tbl>
    <w:p w14:paraId="752C888A" w14:textId="77777777" w:rsidR="00263889" w:rsidRPr="00263889" w:rsidRDefault="00263889" w:rsidP="00263889">
      <w:pPr>
        <w:ind w:firstLine="0"/>
        <w:rPr>
          <w:sz w:val="18"/>
          <w:szCs w:val="18"/>
        </w:rPr>
      </w:pPr>
    </w:p>
    <w:p w14:paraId="1B383D08" w14:textId="7FAEC737" w:rsidR="00405CF6" w:rsidRDefault="00405CF6" w:rsidP="004E0A50">
      <w:pPr>
        <w:pStyle w:val="heading2"/>
      </w:pPr>
      <w:r w:rsidRPr="00DC45E0">
        <w:t>Demographic profile</w:t>
      </w:r>
    </w:p>
    <w:p w14:paraId="6E135D17" w14:textId="2A9939D0" w:rsidR="00263889" w:rsidRDefault="00263889" w:rsidP="00263889">
      <w:pPr>
        <w:ind w:firstLine="0"/>
      </w:pPr>
      <w:r>
        <w:t>The information on demographics and socio-economic characteristics is displayed in Table 4 below. It began by addressing the profile of the respondents in percentage value of the gender. Out of 150 respondents, 39.3% were male and 60.7% were female. Majority respondents were from the range of 21-30 age groups which were 52% from the total. This followed by 24% aged</w:t>
      </w:r>
      <w:r>
        <w:rPr>
          <w:spacing w:val="-9"/>
        </w:rPr>
        <w:t xml:space="preserve"> </w:t>
      </w:r>
      <w:r>
        <w:t>31-40</w:t>
      </w:r>
      <w:r>
        <w:rPr>
          <w:spacing w:val="-11"/>
        </w:rPr>
        <w:t xml:space="preserve"> </w:t>
      </w:r>
      <w:r>
        <w:t>years</w:t>
      </w:r>
      <w:r>
        <w:rPr>
          <w:spacing w:val="-10"/>
        </w:rPr>
        <w:t xml:space="preserve"> </w:t>
      </w:r>
      <w:r>
        <w:t>old,</w:t>
      </w:r>
      <w:r>
        <w:rPr>
          <w:spacing w:val="-8"/>
        </w:rPr>
        <w:t xml:space="preserve"> </w:t>
      </w:r>
      <w:r>
        <w:t>18.7%</w:t>
      </w:r>
      <w:r>
        <w:rPr>
          <w:spacing w:val="-9"/>
        </w:rPr>
        <w:t xml:space="preserve"> </w:t>
      </w:r>
      <w:r>
        <w:t>aged</w:t>
      </w:r>
      <w:r>
        <w:rPr>
          <w:spacing w:val="-9"/>
        </w:rPr>
        <w:t xml:space="preserve"> </w:t>
      </w:r>
      <w:r>
        <w:t>41-50</w:t>
      </w:r>
      <w:r>
        <w:rPr>
          <w:spacing w:val="-9"/>
        </w:rPr>
        <w:t xml:space="preserve"> </w:t>
      </w:r>
      <w:r>
        <w:t>years</w:t>
      </w:r>
      <w:r>
        <w:rPr>
          <w:spacing w:val="-11"/>
        </w:rPr>
        <w:t xml:space="preserve"> </w:t>
      </w:r>
      <w:r>
        <w:t>old,</w:t>
      </w:r>
      <w:r>
        <w:rPr>
          <w:spacing w:val="-10"/>
        </w:rPr>
        <w:t xml:space="preserve"> </w:t>
      </w:r>
      <w:r>
        <w:t>4%</w:t>
      </w:r>
      <w:r>
        <w:rPr>
          <w:spacing w:val="-8"/>
        </w:rPr>
        <w:t xml:space="preserve"> </w:t>
      </w:r>
      <w:r>
        <w:t>aged</w:t>
      </w:r>
      <w:r>
        <w:rPr>
          <w:spacing w:val="-9"/>
        </w:rPr>
        <w:t xml:space="preserve"> </w:t>
      </w:r>
      <w:r>
        <w:t>50</w:t>
      </w:r>
      <w:r>
        <w:rPr>
          <w:spacing w:val="-10"/>
        </w:rPr>
        <w:t xml:space="preserve"> </w:t>
      </w:r>
      <w:r>
        <w:t>above</w:t>
      </w:r>
      <w:r>
        <w:rPr>
          <w:spacing w:val="-9"/>
        </w:rPr>
        <w:t xml:space="preserve"> </w:t>
      </w:r>
      <w:r>
        <w:t>and</w:t>
      </w:r>
      <w:r>
        <w:rPr>
          <w:spacing w:val="-10"/>
        </w:rPr>
        <w:t xml:space="preserve"> </w:t>
      </w:r>
      <w:r>
        <w:t>the</w:t>
      </w:r>
      <w:r>
        <w:rPr>
          <w:spacing w:val="-9"/>
        </w:rPr>
        <w:t xml:space="preserve"> </w:t>
      </w:r>
      <w:r>
        <w:t>remaining</w:t>
      </w:r>
      <w:r>
        <w:rPr>
          <w:spacing w:val="-10"/>
        </w:rPr>
        <w:t xml:space="preserve"> </w:t>
      </w:r>
      <w:r>
        <w:t>age</w:t>
      </w:r>
      <w:r>
        <w:rPr>
          <w:spacing w:val="-8"/>
        </w:rPr>
        <w:t xml:space="preserve"> </w:t>
      </w:r>
      <w:r>
        <w:t>group is below 20 years old. Most respondents who answered the questionnaire were married which was evidenced by the percentage of 56% and the rests were single with 41.3% and the lowest status was divorcee who took 2.7% from the total. Meanwhile, 53.3% of the respondents were at the highest education of degree certificate, trailed by 25.3% at matriculation level, 16% of Secondary Education Malaysia (SPM), 3.3% of Lower Secondary Evaluation (PMR) and others 2%</w:t>
      </w:r>
      <w:r>
        <w:rPr>
          <w:spacing w:val="-4"/>
        </w:rPr>
        <w:t xml:space="preserve"> </w:t>
      </w:r>
      <w:r>
        <w:t xml:space="preserve">respectively. </w:t>
      </w:r>
    </w:p>
    <w:p w14:paraId="535AB377" w14:textId="77777777" w:rsidR="00263889" w:rsidRDefault="00263889" w:rsidP="00263889">
      <w:pPr>
        <w:rPr>
          <w:sz w:val="16"/>
          <w:szCs w:val="16"/>
        </w:rPr>
      </w:pPr>
      <w:r>
        <w:t>The main requirement to</w:t>
      </w:r>
      <w:r>
        <w:rPr>
          <w:spacing w:val="-6"/>
        </w:rPr>
        <w:t xml:space="preserve"> </w:t>
      </w:r>
      <w:r>
        <w:t>participate</w:t>
      </w:r>
      <w:r>
        <w:rPr>
          <w:spacing w:val="-6"/>
        </w:rPr>
        <w:t xml:space="preserve"> </w:t>
      </w:r>
      <w:r>
        <w:t>in</w:t>
      </w:r>
      <w:r>
        <w:rPr>
          <w:spacing w:val="-5"/>
        </w:rPr>
        <w:t xml:space="preserve"> </w:t>
      </w:r>
      <w:r>
        <w:t>the</w:t>
      </w:r>
      <w:r>
        <w:rPr>
          <w:spacing w:val="-6"/>
        </w:rPr>
        <w:t xml:space="preserve"> </w:t>
      </w:r>
      <w:r>
        <w:t>study,</w:t>
      </w:r>
      <w:r>
        <w:rPr>
          <w:spacing w:val="-6"/>
        </w:rPr>
        <w:t xml:space="preserve"> </w:t>
      </w:r>
      <w:r>
        <w:t>respondent</w:t>
      </w:r>
      <w:r>
        <w:rPr>
          <w:spacing w:val="-6"/>
        </w:rPr>
        <w:t xml:space="preserve"> </w:t>
      </w:r>
      <w:r>
        <w:t>must</w:t>
      </w:r>
      <w:r>
        <w:rPr>
          <w:spacing w:val="-6"/>
        </w:rPr>
        <w:t xml:space="preserve"> </w:t>
      </w:r>
      <w:r>
        <w:t>be</w:t>
      </w:r>
      <w:r>
        <w:rPr>
          <w:spacing w:val="-5"/>
        </w:rPr>
        <w:t xml:space="preserve"> </w:t>
      </w:r>
      <w:r>
        <w:t>a</w:t>
      </w:r>
      <w:r>
        <w:rPr>
          <w:spacing w:val="-6"/>
        </w:rPr>
        <w:t xml:space="preserve"> </w:t>
      </w:r>
      <w:r>
        <w:t>takaful</w:t>
      </w:r>
      <w:r>
        <w:rPr>
          <w:spacing w:val="-6"/>
        </w:rPr>
        <w:t xml:space="preserve"> </w:t>
      </w:r>
      <w:r>
        <w:t>customer.</w:t>
      </w:r>
      <w:r>
        <w:rPr>
          <w:spacing w:val="-6"/>
        </w:rPr>
        <w:t xml:space="preserve"> </w:t>
      </w:r>
      <w:r>
        <w:t>The</w:t>
      </w:r>
      <w:r>
        <w:rPr>
          <w:spacing w:val="-6"/>
        </w:rPr>
        <w:t xml:space="preserve"> </w:t>
      </w:r>
      <w:r>
        <w:t>first</w:t>
      </w:r>
      <w:r>
        <w:rPr>
          <w:spacing w:val="-5"/>
        </w:rPr>
        <w:t xml:space="preserve"> </w:t>
      </w:r>
      <w:r>
        <w:t>choice</w:t>
      </w:r>
      <w:r>
        <w:rPr>
          <w:spacing w:val="-6"/>
        </w:rPr>
        <w:t xml:space="preserve"> </w:t>
      </w:r>
      <w:r>
        <w:t>made</w:t>
      </w:r>
      <w:r>
        <w:rPr>
          <w:spacing w:val="-6"/>
        </w:rPr>
        <w:t xml:space="preserve"> </w:t>
      </w:r>
      <w:r>
        <w:t>by</w:t>
      </w:r>
      <w:r>
        <w:rPr>
          <w:spacing w:val="-5"/>
        </w:rPr>
        <w:t xml:space="preserve"> </w:t>
      </w:r>
      <w:r>
        <w:t>customer was</w:t>
      </w:r>
      <w:r>
        <w:rPr>
          <w:spacing w:val="-11"/>
        </w:rPr>
        <w:t xml:space="preserve"> </w:t>
      </w:r>
      <w:r>
        <w:t>medical</w:t>
      </w:r>
      <w:r>
        <w:rPr>
          <w:spacing w:val="-11"/>
        </w:rPr>
        <w:t xml:space="preserve"> </w:t>
      </w:r>
      <w:r>
        <w:t>card</w:t>
      </w:r>
      <w:r>
        <w:rPr>
          <w:spacing w:val="-10"/>
        </w:rPr>
        <w:t xml:space="preserve"> </w:t>
      </w:r>
      <w:r>
        <w:t>(70%),</w:t>
      </w:r>
      <w:r>
        <w:rPr>
          <w:spacing w:val="-10"/>
        </w:rPr>
        <w:t xml:space="preserve"> </w:t>
      </w:r>
      <w:r>
        <w:t>then</w:t>
      </w:r>
      <w:r>
        <w:rPr>
          <w:spacing w:val="-9"/>
        </w:rPr>
        <w:t xml:space="preserve"> </w:t>
      </w:r>
      <w:r>
        <w:t>education</w:t>
      </w:r>
      <w:r>
        <w:rPr>
          <w:spacing w:val="-10"/>
        </w:rPr>
        <w:t xml:space="preserve"> </w:t>
      </w:r>
      <w:r>
        <w:t>plan</w:t>
      </w:r>
      <w:r>
        <w:rPr>
          <w:spacing w:val="-10"/>
        </w:rPr>
        <w:t xml:space="preserve"> </w:t>
      </w:r>
      <w:r>
        <w:t>ranked</w:t>
      </w:r>
      <w:r>
        <w:rPr>
          <w:spacing w:val="-10"/>
        </w:rPr>
        <w:t xml:space="preserve"> </w:t>
      </w:r>
      <w:r>
        <w:t>second</w:t>
      </w:r>
      <w:r>
        <w:rPr>
          <w:spacing w:val="-9"/>
        </w:rPr>
        <w:t xml:space="preserve"> </w:t>
      </w:r>
      <w:r>
        <w:t>(10%),</w:t>
      </w:r>
      <w:r>
        <w:rPr>
          <w:spacing w:val="-10"/>
        </w:rPr>
        <w:t xml:space="preserve"> </w:t>
      </w:r>
      <w:proofErr w:type="spellStart"/>
      <w:r>
        <w:rPr>
          <w:i/>
          <w:iCs/>
        </w:rPr>
        <w:t>hibah</w:t>
      </w:r>
      <w:proofErr w:type="spellEnd"/>
      <w:r>
        <w:rPr>
          <w:spacing w:val="-9"/>
        </w:rPr>
        <w:t xml:space="preserve"> </w:t>
      </w:r>
      <w:r>
        <w:t>ranked</w:t>
      </w:r>
      <w:r>
        <w:rPr>
          <w:spacing w:val="-10"/>
        </w:rPr>
        <w:t xml:space="preserve"> </w:t>
      </w:r>
      <w:r>
        <w:t>third</w:t>
      </w:r>
      <w:r>
        <w:rPr>
          <w:spacing w:val="-11"/>
        </w:rPr>
        <w:t xml:space="preserve"> </w:t>
      </w:r>
      <w:r>
        <w:t>(7.3%),</w:t>
      </w:r>
      <w:r>
        <w:rPr>
          <w:spacing w:val="-11"/>
        </w:rPr>
        <w:t xml:space="preserve"> </w:t>
      </w:r>
      <w:r>
        <w:t>and others were the lowest choice (12.7%). In addition, 72% of respondents chose early preparation</w:t>
      </w:r>
      <w:r>
        <w:rPr>
          <w:spacing w:val="-13"/>
        </w:rPr>
        <w:t xml:space="preserve"> </w:t>
      </w:r>
      <w:r>
        <w:t>as</w:t>
      </w:r>
      <w:r>
        <w:rPr>
          <w:spacing w:val="-10"/>
        </w:rPr>
        <w:t xml:space="preserve"> </w:t>
      </w:r>
      <w:r>
        <w:t>the</w:t>
      </w:r>
      <w:r>
        <w:rPr>
          <w:spacing w:val="-11"/>
        </w:rPr>
        <w:t xml:space="preserve"> </w:t>
      </w:r>
      <w:r>
        <w:t>main</w:t>
      </w:r>
      <w:r>
        <w:rPr>
          <w:spacing w:val="-11"/>
        </w:rPr>
        <w:t xml:space="preserve"> </w:t>
      </w:r>
      <w:r>
        <w:t>reason</w:t>
      </w:r>
      <w:r>
        <w:rPr>
          <w:spacing w:val="-10"/>
        </w:rPr>
        <w:t xml:space="preserve"> </w:t>
      </w:r>
      <w:r>
        <w:t>of</w:t>
      </w:r>
      <w:r>
        <w:rPr>
          <w:spacing w:val="-12"/>
        </w:rPr>
        <w:t xml:space="preserve"> </w:t>
      </w:r>
      <w:r>
        <w:t>purchasing</w:t>
      </w:r>
      <w:r>
        <w:rPr>
          <w:spacing w:val="-11"/>
        </w:rPr>
        <w:t xml:space="preserve"> </w:t>
      </w:r>
      <w:r>
        <w:t>the</w:t>
      </w:r>
      <w:r>
        <w:rPr>
          <w:spacing w:val="-11"/>
        </w:rPr>
        <w:t xml:space="preserve"> </w:t>
      </w:r>
      <w:r>
        <w:t>takaful,</w:t>
      </w:r>
      <w:r>
        <w:rPr>
          <w:spacing w:val="-11"/>
        </w:rPr>
        <w:t xml:space="preserve"> </w:t>
      </w:r>
      <w:r>
        <w:t>following</w:t>
      </w:r>
      <w:r>
        <w:rPr>
          <w:spacing w:val="-10"/>
        </w:rPr>
        <w:t xml:space="preserve"> </w:t>
      </w:r>
      <w:r>
        <w:t>the</w:t>
      </w:r>
      <w:r>
        <w:rPr>
          <w:spacing w:val="-10"/>
        </w:rPr>
        <w:t xml:space="preserve"> </w:t>
      </w:r>
      <w:r>
        <w:t>order,</w:t>
      </w:r>
      <w:r>
        <w:rPr>
          <w:spacing w:val="-10"/>
        </w:rPr>
        <w:t xml:space="preserve"> </w:t>
      </w:r>
      <w:r>
        <w:t>reasoned</w:t>
      </w:r>
      <w:r>
        <w:rPr>
          <w:spacing w:val="-12"/>
        </w:rPr>
        <w:t xml:space="preserve"> </w:t>
      </w:r>
      <w:r>
        <w:t>to</w:t>
      </w:r>
      <w:r>
        <w:rPr>
          <w:spacing w:val="-10"/>
        </w:rPr>
        <w:t xml:space="preserve"> </w:t>
      </w:r>
      <w:r>
        <w:t>high</w:t>
      </w:r>
      <w:r>
        <w:rPr>
          <w:spacing w:val="-11"/>
        </w:rPr>
        <w:t xml:space="preserve"> </w:t>
      </w:r>
      <w:r>
        <w:t xml:space="preserve">cost of living which approximately 13.3%, then the next reasons with similar percentage were 6.7% went to expensive education fees and attractive product. The remaining was from due to other </w:t>
      </w:r>
      <w:r>
        <w:lastRenderedPageBreak/>
        <w:t>reasons.</w:t>
      </w:r>
      <w:r>
        <w:rPr>
          <w:sz w:val="16"/>
          <w:szCs w:val="16"/>
        </w:rPr>
        <w:t xml:space="preserve"> </w:t>
      </w:r>
      <w:r>
        <w:t>Simultaneously, 36% income of the respondents were in range of 2001 to 3001, whereas 22% at the next range of 3001 to 4000, then 33.3% was below RM2000, and the least percentage was above 4001.</w:t>
      </w:r>
    </w:p>
    <w:p w14:paraId="534B9ED4" w14:textId="77777777" w:rsidR="00263889" w:rsidRDefault="00263889" w:rsidP="00263889"/>
    <w:p w14:paraId="7F04373F" w14:textId="24B63BC3" w:rsidR="00263889" w:rsidRPr="00263889" w:rsidRDefault="00263889" w:rsidP="00263889">
      <w:pPr>
        <w:spacing w:before="1"/>
        <w:ind w:left="270" w:right="407"/>
        <w:jc w:val="center"/>
        <w:rPr>
          <w:sz w:val="18"/>
          <w:szCs w:val="18"/>
        </w:rPr>
      </w:pPr>
      <w:r w:rsidRPr="00263889">
        <w:rPr>
          <w:b/>
          <w:sz w:val="18"/>
          <w:szCs w:val="18"/>
        </w:rPr>
        <w:t>Table 4</w:t>
      </w:r>
      <w:r>
        <w:rPr>
          <w:b/>
          <w:sz w:val="18"/>
          <w:szCs w:val="18"/>
        </w:rPr>
        <w:t xml:space="preserve">. </w:t>
      </w:r>
      <w:r w:rsidRPr="00263889">
        <w:rPr>
          <w:sz w:val="18"/>
          <w:szCs w:val="18"/>
        </w:rPr>
        <w:t xml:space="preserve">Demographic Profile of Respondent and Socio-Economic </w:t>
      </w:r>
    </w:p>
    <w:p w14:paraId="5FC87348" w14:textId="77777777" w:rsidR="00263889" w:rsidRPr="00263889" w:rsidRDefault="00263889" w:rsidP="00263889">
      <w:pPr>
        <w:spacing w:before="1"/>
        <w:ind w:left="270" w:right="407"/>
        <w:jc w:val="center"/>
        <w:rPr>
          <w:sz w:val="18"/>
          <w:szCs w:val="18"/>
        </w:rPr>
      </w:pPr>
      <w:r w:rsidRPr="00263889">
        <w:rPr>
          <w:sz w:val="18"/>
          <w:szCs w:val="18"/>
        </w:rPr>
        <w:t>Characteristics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1522"/>
        <w:gridCol w:w="1366"/>
        <w:gridCol w:w="1680"/>
      </w:tblGrid>
      <w:tr w:rsidR="00263889" w14:paraId="34E7B88E" w14:textId="77777777" w:rsidTr="00263889">
        <w:trPr>
          <w:trHeight w:val="306"/>
          <w:jc w:val="center"/>
        </w:trPr>
        <w:tc>
          <w:tcPr>
            <w:tcW w:w="1522" w:type="dxa"/>
            <w:tcBorders>
              <w:top w:val="single" w:sz="4" w:space="0" w:color="000000"/>
              <w:left w:val="single" w:sz="4" w:space="0" w:color="000000"/>
              <w:bottom w:val="single" w:sz="4" w:space="0" w:color="000000"/>
              <w:right w:val="single" w:sz="4" w:space="0" w:color="000000"/>
            </w:tcBorders>
            <w:hideMark/>
          </w:tcPr>
          <w:p w14:paraId="27FB73B0" w14:textId="77777777" w:rsidR="00263889" w:rsidRPr="00263889" w:rsidRDefault="00263889">
            <w:pPr>
              <w:pStyle w:val="TableParagraph"/>
              <w:spacing w:line="240" w:lineRule="auto"/>
              <w:ind w:left="107"/>
              <w:rPr>
                <w:b/>
                <w:sz w:val="18"/>
                <w:szCs w:val="18"/>
              </w:rPr>
            </w:pPr>
            <w:r w:rsidRPr="00263889">
              <w:rPr>
                <w:b/>
                <w:sz w:val="18"/>
                <w:szCs w:val="18"/>
              </w:rPr>
              <w:t>Demographic</w:t>
            </w:r>
          </w:p>
        </w:tc>
        <w:tc>
          <w:tcPr>
            <w:tcW w:w="1522" w:type="dxa"/>
            <w:tcBorders>
              <w:top w:val="single" w:sz="4" w:space="0" w:color="000000"/>
              <w:left w:val="single" w:sz="4" w:space="0" w:color="000000"/>
              <w:bottom w:val="single" w:sz="4" w:space="0" w:color="000000"/>
              <w:right w:val="single" w:sz="4" w:space="0" w:color="000000"/>
            </w:tcBorders>
            <w:hideMark/>
          </w:tcPr>
          <w:p w14:paraId="7491FB4E" w14:textId="77777777" w:rsidR="00263889" w:rsidRPr="00263889" w:rsidRDefault="00263889">
            <w:pPr>
              <w:pStyle w:val="TableParagraph"/>
              <w:spacing w:line="240" w:lineRule="auto"/>
              <w:ind w:left="108"/>
              <w:rPr>
                <w:b/>
                <w:sz w:val="18"/>
                <w:szCs w:val="18"/>
              </w:rPr>
            </w:pPr>
            <w:r w:rsidRPr="00263889">
              <w:rPr>
                <w:b/>
                <w:sz w:val="18"/>
                <w:szCs w:val="18"/>
              </w:rPr>
              <w:t>Categories</w:t>
            </w:r>
          </w:p>
        </w:tc>
        <w:tc>
          <w:tcPr>
            <w:tcW w:w="1366" w:type="dxa"/>
            <w:tcBorders>
              <w:top w:val="single" w:sz="4" w:space="0" w:color="000000"/>
              <w:left w:val="single" w:sz="4" w:space="0" w:color="000000"/>
              <w:bottom w:val="single" w:sz="4" w:space="0" w:color="000000"/>
              <w:right w:val="single" w:sz="4" w:space="0" w:color="000000"/>
            </w:tcBorders>
            <w:hideMark/>
          </w:tcPr>
          <w:p w14:paraId="1F62CD68" w14:textId="77777777" w:rsidR="00263889" w:rsidRPr="00263889" w:rsidRDefault="00263889">
            <w:pPr>
              <w:pStyle w:val="TableParagraph"/>
              <w:spacing w:line="240" w:lineRule="auto"/>
              <w:ind w:left="108"/>
              <w:rPr>
                <w:b/>
                <w:sz w:val="18"/>
                <w:szCs w:val="18"/>
              </w:rPr>
            </w:pPr>
            <w:r w:rsidRPr="00263889">
              <w:rPr>
                <w:b/>
                <w:sz w:val="18"/>
                <w:szCs w:val="18"/>
              </w:rPr>
              <w:t>Frequency (N=150)</w:t>
            </w:r>
          </w:p>
        </w:tc>
        <w:tc>
          <w:tcPr>
            <w:tcW w:w="1680" w:type="dxa"/>
            <w:tcBorders>
              <w:top w:val="single" w:sz="4" w:space="0" w:color="000000"/>
              <w:left w:val="single" w:sz="4" w:space="0" w:color="000000"/>
              <w:bottom w:val="single" w:sz="4" w:space="0" w:color="000000"/>
              <w:right w:val="single" w:sz="4" w:space="0" w:color="000000"/>
            </w:tcBorders>
            <w:hideMark/>
          </w:tcPr>
          <w:p w14:paraId="2C6EE22E" w14:textId="77777777" w:rsidR="00263889" w:rsidRPr="00263889" w:rsidRDefault="00263889">
            <w:pPr>
              <w:pStyle w:val="TableParagraph"/>
              <w:spacing w:line="240" w:lineRule="auto"/>
              <w:ind w:left="107"/>
              <w:rPr>
                <w:b/>
                <w:sz w:val="18"/>
                <w:szCs w:val="18"/>
              </w:rPr>
            </w:pPr>
            <w:r w:rsidRPr="00263889">
              <w:rPr>
                <w:b/>
                <w:sz w:val="18"/>
                <w:szCs w:val="18"/>
              </w:rPr>
              <w:t>Percentage (%)</w:t>
            </w:r>
          </w:p>
        </w:tc>
      </w:tr>
      <w:tr w:rsidR="00263889" w14:paraId="554E425C" w14:textId="77777777" w:rsidTr="00263889">
        <w:trPr>
          <w:trHeight w:val="251"/>
          <w:jc w:val="center"/>
        </w:trPr>
        <w:tc>
          <w:tcPr>
            <w:tcW w:w="1522" w:type="dxa"/>
            <w:vMerge w:val="restart"/>
            <w:tcBorders>
              <w:top w:val="single" w:sz="4" w:space="0" w:color="000000"/>
              <w:left w:val="single" w:sz="4" w:space="0" w:color="000000"/>
              <w:bottom w:val="single" w:sz="4" w:space="0" w:color="000000"/>
              <w:right w:val="single" w:sz="4" w:space="0" w:color="000000"/>
            </w:tcBorders>
            <w:hideMark/>
          </w:tcPr>
          <w:p w14:paraId="38A0021E" w14:textId="77777777" w:rsidR="00263889" w:rsidRPr="00263889" w:rsidRDefault="00263889">
            <w:pPr>
              <w:pStyle w:val="TableParagraph"/>
              <w:spacing w:line="240" w:lineRule="auto"/>
              <w:ind w:left="107"/>
              <w:rPr>
                <w:sz w:val="18"/>
                <w:szCs w:val="18"/>
              </w:rPr>
            </w:pPr>
            <w:r w:rsidRPr="00263889">
              <w:rPr>
                <w:sz w:val="18"/>
                <w:szCs w:val="18"/>
              </w:rPr>
              <w:t>Gender</w:t>
            </w:r>
          </w:p>
        </w:tc>
        <w:tc>
          <w:tcPr>
            <w:tcW w:w="1522" w:type="dxa"/>
            <w:tcBorders>
              <w:top w:val="single" w:sz="4" w:space="0" w:color="000000"/>
              <w:left w:val="single" w:sz="4" w:space="0" w:color="000000"/>
              <w:bottom w:val="single" w:sz="4" w:space="0" w:color="000000"/>
              <w:right w:val="single" w:sz="4" w:space="0" w:color="000000"/>
            </w:tcBorders>
            <w:hideMark/>
          </w:tcPr>
          <w:p w14:paraId="6D7E0D44" w14:textId="77777777" w:rsidR="00263889" w:rsidRPr="00263889" w:rsidRDefault="00263889">
            <w:pPr>
              <w:pStyle w:val="TableParagraph"/>
              <w:ind w:left="108"/>
              <w:rPr>
                <w:sz w:val="18"/>
                <w:szCs w:val="18"/>
              </w:rPr>
            </w:pPr>
            <w:r w:rsidRPr="00263889">
              <w:rPr>
                <w:sz w:val="18"/>
                <w:szCs w:val="18"/>
              </w:rPr>
              <w:t>Male</w:t>
            </w:r>
          </w:p>
        </w:tc>
        <w:tc>
          <w:tcPr>
            <w:tcW w:w="1366" w:type="dxa"/>
            <w:tcBorders>
              <w:top w:val="single" w:sz="4" w:space="0" w:color="000000"/>
              <w:left w:val="single" w:sz="4" w:space="0" w:color="000000"/>
              <w:bottom w:val="single" w:sz="4" w:space="0" w:color="000000"/>
              <w:right w:val="single" w:sz="4" w:space="0" w:color="000000"/>
            </w:tcBorders>
            <w:hideMark/>
          </w:tcPr>
          <w:p w14:paraId="17CFD7C7" w14:textId="77777777" w:rsidR="00263889" w:rsidRPr="00263889" w:rsidRDefault="00263889">
            <w:pPr>
              <w:pStyle w:val="TableParagraph"/>
              <w:rPr>
                <w:sz w:val="18"/>
                <w:szCs w:val="18"/>
              </w:rPr>
            </w:pPr>
            <w:r w:rsidRPr="00263889">
              <w:rPr>
                <w:sz w:val="18"/>
                <w:szCs w:val="18"/>
              </w:rPr>
              <w:t>59</w:t>
            </w:r>
          </w:p>
        </w:tc>
        <w:tc>
          <w:tcPr>
            <w:tcW w:w="1680" w:type="dxa"/>
            <w:tcBorders>
              <w:top w:val="single" w:sz="4" w:space="0" w:color="000000"/>
              <w:left w:val="single" w:sz="4" w:space="0" w:color="000000"/>
              <w:bottom w:val="single" w:sz="4" w:space="0" w:color="000000"/>
              <w:right w:val="single" w:sz="4" w:space="0" w:color="000000"/>
            </w:tcBorders>
            <w:hideMark/>
          </w:tcPr>
          <w:p w14:paraId="1B959A54" w14:textId="77777777" w:rsidR="00263889" w:rsidRPr="00263889" w:rsidRDefault="00263889">
            <w:pPr>
              <w:pStyle w:val="TableParagraph"/>
              <w:ind w:left="167"/>
              <w:rPr>
                <w:sz w:val="18"/>
                <w:szCs w:val="18"/>
              </w:rPr>
            </w:pPr>
            <w:r w:rsidRPr="00263889">
              <w:rPr>
                <w:sz w:val="18"/>
                <w:szCs w:val="18"/>
              </w:rPr>
              <w:t>39.3</w:t>
            </w:r>
          </w:p>
        </w:tc>
      </w:tr>
      <w:tr w:rsidR="00263889" w14:paraId="19703E34" w14:textId="77777777" w:rsidTr="00263889">
        <w:trPr>
          <w:trHeight w:val="252"/>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3654A5F4"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686F5602" w14:textId="77777777" w:rsidR="00263889" w:rsidRPr="00263889" w:rsidRDefault="00263889">
            <w:pPr>
              <w:pStyle w:val="TableParagraph"/>
              <w:spacing w:before="1"/>
              <w:ind w:left="108"/>
              <w:rPr>
                <w:sz w:val="18"/>
                <w:szCs w:val="18"/>
              </w:rPr>
            </w:pPr>
            <w:r w:rsidRPr="00263889">
              <w:rPr>
                <w:sz w:val="18"/>
                <w:szCs w:val="18"/>
              </w:rPr>
              <w:t>Female</w:t>
            </w:r>
          </w:p>
        </w:tc>
        <w:tc>
          <w:tcPr>
            <w:tcW w:w="1366" w:type="dxa"/>
            <w:tcBorders>
              <w:top w:val="single" w:sz="4" w:space="0" w:color="000000"/>
              <w:left w:val="single" w:sz="4" w:space="0" w:color="000000"/>
              <w:bottom w:val="single" w:sz="4" w:space="0" w:color="000000"/>
              <w:right w:val="single" w:sz="4" w:space="0" w:color="000000"/>
            </w:tcBorders>
            <w:hideMark/>
          </w:tcPr>
          <w:p w14:paraId="124378CD" w14:textId="77777777" w:rsidR="00263889" w:rsidRPr="00263889" w:rsidRDefault="00263889">
            <w:pPr>
              <w:pStyle w:val="TableParagraph"/>
              <w:spacing w:before="1"/>
              <w:rPr>
                <w:sz w:val="18"/>
                <w:szCs w:val="18"/>
              </w:rPr>
            </w:pPr>
            <w:r w:rsidRPr="00263889">
              <w:rPr>
                <w:sz w:val="18"/>
                <w:szCs w:val="18"/>
              </w:rPr>
              <w:t>91</w:t>
            </w:r>
          </w:p>
        </w:tc>
        <w:tc>
          <w:tcPr>
            <w:tcW w:w="1680" w:type="dxa"/>
            <w:tcBorders>
              <w:top w:val="single" w:sz="4" w:space="0" w:color="000000"/>
              <w:left w:val="single" w:sz="4" w:space="0" w:color="000000"/>
              <w:bottom w:val="single" w:sz="4" w:space="0" w:color="000000"/>
              <w:right w:val="single" w:sz="4" w:space="0" w:color="000000"/>
            </w:tcBorders>
            <w:hideMark/>
          </w:tcPr>
          <w:p w14:paraId="417DFD6E" w14:textId="77777777" w:rsidR="00263889" w:rsidRPr="00263889" w:rsidRDefault="00263889">
            <w:pPr>
              <w:pStyle w:val="TableParagraph"/>
              <w:spacing w:before="1"/>
              <w:ind w:left="167"/>
              <w:rPr>
                <w:sz w:val="18"/>
                <w:szCs w:val="18"/>
              </w:rPr>
            </w:pPr>
            <w:r w:rsidRPr="00263889">
              <w:rPr>
                <w:sz w:val="18"/>
                <w:szCs w:val="18"/>
              </w:rPr>
              <w:t>60.7</w:t>
            </w:r>
          </w:p>
        </w:tc>
      </w:tr>
      <w:tr w:rsidR="00263889" w14:paraId="54FB05D6" w14:textId="77777777" w:rsidTr="00263889">
        <w:trPr>
          <w:trHeight w:val="251"/>
          <w:jc w:val="center"/>
        </w:trPr>
        <w:tc>
          <w:tcPr>
            <w:tcW w:w="1522" w:type="dxa"/>
            <w:vMerge w:val="restart"/>
            <w:tcBorders>
              <w:top w:val="single" w:sz="4" w:space="0" w:color="000000"/>
              <w:left w:val="single" w:sz="4" w:space="0" w:color="000000"/>
              <w:bottom w:val="single" w:sz="4" w:space="0" w:color="000000"/>
              <w:right w:val="single" w:sz="4" w:space="0" w:color="000000"/>
            </w:tcBorders>
            <w:hideMark/>
          </w:tcPr>
          <w:p w14:paraId="020F112F" w14:textId="77777777" w:rsidR="00263889" w:rsidRPr="00263889" w:rsidRDefault="00263889">
            <w:pPr>
              <w:pStyle w:val="TableParagraph"/>
              <w:spacing w:line="240" w:lineRule="auto"/>
              <w:ind w:left="107"/>
              <w:rPr>
                <w:sz w:val="18"/>
                <w:szCs w:val="18"/>
              </w:rPr>
            </w:pPr>
            <w:r w:rsidRPr="00263889">
              <w:rPr>
                <w:sz w:val="18"/>
                <w:szCs w:val="18"/>
              </w:rPr>
              <w:t>Age</w:t>
            </w:r>
          </w:p>
        </w:tc>
        <w:tc>
          <w:tcPr>
            <w:tcW w:w="1522" w:type="dxa"/>
            <w:tcBorders>
              <w:top w:val="single" w:sz="4" w:space="0" w:color="000000"/>
              <w:left w:val="single" w:sz="4" w:space="0" w:color="000000"/>
              <w:bottom w:val="single" w:sz="4" w:space="0" w:color="000000"/>
              <w:right w:val="single" w:sz="4" w:space="0" w:color="000000"/>
            </w:tcBorders>
            <w:hideMark/>
          </w:tcPr>
          <w:p w14:paraId="1712E5B5" w14:textId="77777777" w:rsidR="00263889" w:rsidRPr="00263889" w:rsidRDefault="00263889">
            <w:pPr>
              <w:pStyle w:val="TableParagraph"/>
              <w:rPr>
                <w:sz w:val="18"/>
                <w:szCs w:val="18"/>
              </w:rPr>
            </w:pPr>
            <w:r w:rsidRPr="00263889">
              <w:rPr>
                <w:sz w:val="18"/>
                <w:szCs w:val="18"/>
              </w:rPr>
              <w:t>Below 20</w:t>
            </w:r>
          </w:p>
        </w:tc>
        <w:tc>
          <w:tcPr>
            <w:tcW w:w="1366" w:type="dxa"/>
            <w:tcBorders>
              <w:top w:val="single" w:sz="4" w:space="0" w:color="000000"/>
              <w:left w:val="single" w:sz="4" w:space="0" w:color="000000"/>
              <w:bottom w:val="single" w:sz="4" w:space="0" w:color="000000"/>
              <w:right w:val="single" w:sz="4" w:space="0" w:color="000000"/>
            </w:tcBorders>
            <w:hideMark/>
          </w:tcPr>
          <w:p w14:paraId="4B031BFC" w14:textId="77777777" w:rsidR="00263889" w:rsidRPr="00263889" w:rsidRDefault="00263889">
            <w:pPr>
              <w:pStyle w:val="TableParagraph"/>
              <w:rPr>
                <w:sz w:val="18"/>
                <w:szCs w:val="18"/>
              </w:rPr>
            </w:pPr>
            <w:r w:rsidRPr="00263889">
              <w:rPr>
                <w:sz w:val="18"/>
                <w:szCs w:val="18"/>
              </w:rPr>
              <w:t>2</w:t>
            </w:r>
          </w:p>
        </w:tc>
        <w:tc>
          <w:tcPr>
            <w:tcW w:w="1680" w:type="dxa"/>
            <w:tcBorders>
              <w:top w:val="single" w:sz="4" w:space="0" w:color="000000"/>
              <w:left w:val="single" w:sz="4" w:space="0" w:color="000000"/>
              <w:bottom w:val="single" w:sz="4" w:space="0" w:color="000000"/>
              <w:right w:val="single" w:sz="4" w:space="0" w:color="000000"/>
            </w:tcBorders>
            <w:hideMark/>
          </w:tcPr>
          <w:p w14:paraId="51556B1D" w14:textId="77777777" w:rsidR="00263889" w:rsidRPr="00263889" w:rsidRDefault="00263889">
            <w:pPr>
              <w:pStyle w:val="TableParagraph"/>
              <w:ind w:left="167"/>
              <w:rPr>
                <w:sz w:val="18"/>
                <w:szCs w:val="18"/>
              </w:rPr>
            </w:pPr>
            <w:r w:rsidRPr="00263889">
              <w:rPr>
                <w:sz w:val="18"/>
                <w:szCs w:val="18"/>
              </w:rPr>
              <w:t>1.3</w:t>
            </w:r>
          </w:p>
        </w:tc>
      </w:tr>
      <w:tr w:rsidR="00263889" w14:paraId="0C4F0B1C"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3D1BB577"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6B0D5E16" w14:textId="77777777" w:rsidR="00263889" w:rsidRPr="00263889" w:rsidRDefault="00263889">
            <w:pPr>
              <w:pStyle w:val="TableParagraph"/>
              <w:rPr>
                <w:sz w:val="18"/>
                <w:szCs w:val="18"/>
              </w:rPr>
            </w:pPr>
            <w:r w:rsidRPr="00263889">
              <w:rPr>
                <w:sz w:val="18"/>
                <w:szCs w:val="18"/>
              </w:rPr>
              <w:t>21-30</w:t>
            </w:r>
          </w:p>
        </w:tc>
        <w:tc>
          <w:tcPr>
            <w:tcW w:w="1366" w:type="dxa"/>
            <w:tcBorders>
              <w:top w:val="single" w:sz="4" w:space="0" w:color="000000"/>
              <w:left w:val="single" w:sz="4" w:space="0" w:color="000000"/>
              <w:bottom w:val="single" w:sz="4" w:space="0" w:color="000000"/>
              <w:right w:val="single" w:sz="4" w:space="0" w:color="000000"/>
            </w:tcBorders>
            <w:hideMark/>
          </w:tcPr>
          <w:p w14:paraId="7ADF533F" w14:textId="77777777" w:rsidR="00263889" w:rsidRPr="00263889" w:rsidRDefault="00263889">
            <w:pPr>
              <w:pStyle w:val="TableParagraph"/>
              <w:rPr>
                <w:sz w:val="18"/>
                <w:szCs w:val="18"/>
              </w:rPr>
            </w:pPr>
            <w:r w:rsidRPr="00263889">
              <w:rPr>
                <w:sz w:val="18"/>
                <w:szCs w:val="18"/>
              </w:rPr>
              <w:t>78</w:t>
            </w:r>
          </w:p>
        </w:tc>
        <w:tc>
          <w:tcPr>
            <w:tcW w:w="1680" w:type="dxa"/>
            <w:tcBorders>
              <w:top w:val="single" w:sz="4" w:space="0" w:color="000000"/>
              <w:left w:val="single" w:sz="4" w:space="0" w:color="000000"/>
              <w:bottom w:val="single" w:sz="4" w:space="0" w:color="000000"/>
              <w:right w:val="single" w:sz="4" w:space="0" w:color="000000"/>
            </w:tcBorders>
            <w:hideMark/>
          </w:tcPr>
          <w:p w14:paraId="64898F65" w14:textId="77777777" w:rsidR="00263889" w:rsidRPr="00263889" w:rsidRDefault="00263889">
            <w:pPr>
              <w:pStyle w:val="TableParagraph"/>
              <w:ind w:left="167"/>
              <w:rPr>
                <w:sz w:val="18"/>
                <w:szCs w:val="18"/>
              </w:rPr>
            </w:pPr>
            <w:r w:rsidRPr="00263889">
              <w:rPr>
                <w:sz w:val="18"/>
                <w:szCs w:val="18"/>
              </w:rPr>
              <w:t>52.0</w:t>
            </w:r>
          </w:p>
        </w:tc>
      </w:tr>
      <w:tr w:rsidR="00263889" w14:paraId="23C7C37C" w14:textId="77777777" w:rsidTr="00263889">
        <w:trPr>
          <w:trHeight w:val="252"/>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4F69D67C"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2A563E6C" w14:textId="77777777" w:rsidR="00263889" w:rsidRPr="00263889" w:rsidRDefault="00263889">
            <w:pPr>
              <w:pStyle w:val="TableParagraph"/>
              <w:spacing w:before="1"/>
              <w:rPr>
                <w:sz w:val="18"/>
                <w:szCs w:val="18"/>
              </w:rPr>
            </w:pPr>
            <w:r w:rsidRPr="00263889">
              <w:rPr>
                <w:sz w:val="18"/>
                <w:szCs w:val="18"/>
              </w:rPr>
              <w:t>31-40</w:t>
            </w:r>
          </w:p>
        </w:tc>
        <w:tc>
          <w:tcPr>
            <w:tcW w:w="1366" w:type="dxa"/>
            <w:tcBorders>
              <w:top w:val="single" w:sz="4" w:space="0" w:color="000000"/>
              <w:left w:val="single" w:sz="4" w:space="0" w:color="000000"/>
              <w:bottom w:val="single" w:sz="4" w:space="0" w:color="000000"/>
              <w:right w:val="single" w:sz="4" w:space="0" w:color="000000"/>
            </w:tcBorders>
            <w:hideMark/>
          </w:tcPr>
          <w:p w14:paraId="49A573E0" w14:textId="77777777" w:rsidR="00263889" w:rsidRPr="00263889" w:rsidRDefault="00263889">
            <w:pPr>
              <w:pStyle w:val="TableParagraph"/>
              <w:spacing w:before="1"/>
              <w:rPr>
                <w:sz w:val="18"/>
                <w:szCs w:val="18"/>
              </w:rPr>
            </w:pPr>
            <w:r w:rsidRPr="00263889">
              <w:rPr>
                <w:sz w:val="18"/>
                <w:szCs w:val="18"/>
              </w:rPr>
              <w:t>36</w:t>
            </w:r>
          </w:p>
        </w:tc>
        <w:tc>
          <w:tcPr>
            <w:tcW w:w="1680" w:type="dxa"/>
            <w:tcBorders>
              <w:top w:val="single" w:sz="4" w:space="0" w:color="000000"/>
              <w:left w:val="single" w:sz="4" w:space="0" w:color="000000"/>
              <w:bottom w:val="single" w:sz="4" w:space="0" w:color="000000"/>
              <w:right w:val="single" w:sz="4" w:space="0" w:color="000000"/>
            </w:tcBorders>
            <w:hideMark/>
          </w:tcPr>
          <w:p w14:paraId="6B5B2C84" w14:textId="77777777" w:rsidR="00263889" w:rsidRPr="00263889" w:rsidRDefault="00263889">
            <w:pPr>
              <w:pStyle w:val="TableParagraph"/>
              <w:spacing w:before="1"/>
              <w:ind w:left="167"/>
              <w:rPr>
                <w:sz w:val="18"/>
                <w:szCs w:val="18"/>
              </w:rPr>
            </w:pPr>
            <w:r w:rsidRPr="00263889">
              <w:rPr>
                <w:sz w:val="18"/>
                <w:szCs w:val="18"/>
              </w:rPr>
              <w:t>24.0</w:t>
            </w:r>
          </w:p>
        </w:tc>
      </w:tr>
      <w:tr w:rsidR="00263889" w14:paraId="2E33429E"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41A32584"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2AE31F02" w14:textId="77777777" w:rsidR="00263889" w:rsidRPr="00263889" w:rsidRDefault="00263889">
            <w:pPr>
              <w:pStyle w:val="TableParagraph"/>
              <w:rPr>
                <w:sz w:val="18"/>
                <w:szCs w:val="18"/>
              </w:rPr>
            </w:pPr>
            <w:r w:rsidRPr="00263889">
              <w:rPr>
                <w:sz w:val="18"/>
                <w:szCs w:val="18"/>
              </w:rPr>
              <w:t>41-50</w:t>
            </w:r>
          </w:p>
        </w:tc>
        <w:tc>
          <w:tcPr>
            <w:tcW w:w="1366" w:type="dxa"/>
            <w:tcBorders>
              <w:top w:val="single" w:sz="4" w:space="0" w:color="000000"/>
              <w:left w:val="single" w:sz="4" w:space="0" w:color="000000"/>
              <w:bottom w:val="single" w:sz="4" w:space="0" w:color="000000"/>
              <w:right w:val="single" w:sz="4" w:space="0" w:color="000000"/>
            </w:tcBorders>
            <w:hideMark/>
          </w:tcPr>
          <w:p w14:paraId="66295256" w14:textId="77777777" w:rsidR="00263889" w:rsidRPr="00263889" w:rsidRDefault="00263889">
            <w:pPr>
              <w:pStyle w:val="TableParagraph"/>
              <w:rPr>
                <w:sz w:val="18"/>
                <w:szCs w:val="18"/>
              </w:rPr>
            </w:pPr>
            <w:r w:rsidRPr="00263889">
              <w:rPr>
                <w:sz w:val="18"/>
                <w:szCs w:val="18"/>
              </w:rPr>
              <w:t>28</w:t>
            </w:r>
          </w:p>
        </w:tc>
        <w:tc>
          <w:tcPr>
            <w:tcW w:w="1680" w:type="dxa"/>
            <w:tcBorders>
              <w:top w:val="single" w:sz="4" w:space="0" w:color="000000"/>
              <w:left w:val="single" w:sz="4" w:space="0" w:color="000000"/>
              <w:bottom w:val="single" w:sz="4" w:space="0" w:color="000000"/>
              <w:right w:val="single" w:sz="4" w:space="0" w:color="000000"/>
            </w:tcBorders>
            <w:hideMark/>
          </w:tcPr>
          <w:p w14:paraId="5A489970" w14:textId="77777777" w:rsidR="00263889" w:rsidRPr="00263889" w:rsidRDefault="00263889">
            <w:pPr>
              <w:pStyle w:val="TableParagraph"/>
              <w:ind w:left="167"/>
              <w:rPr>
                <w:sz w:val="18"/>
                <w:szCs w:val="18"/>
              </w:rPr>
            </w:pPr>
            <w:r w:rsidRPr="00263889">
              <w:rPr>
                <w:sz w:val="18"/>
                <w:szCs w:val="18"/>
              </w:rPr>
              <w:t>18.7</w:t>
            </w:r>
          </w:p>
        </w:tc>
      </w:tr>
      <w:tr w:rsidR="00263889" w14:paraId="0DB49908"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7F8F7492"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3D7808B0" w14:textId="77777777" w:rsidR="00263889" w:rsidRPr="00263889" w:rsidRDefault="00263889">
            <w:pPr>
              <w:pStyle w:val="TableParagraph"/>
              <w:rPr>
                <w:sz w:val="18"/>
                <w:szCs w:val="18"/>
              </w:rPr>
            </w:pPr>
            <w:r w:rsidRPr="00263889">
              <w:rPr>
                <w:sz w:val="18"/>
                <w:szCs w:val="18"/>
              </w:rPr>
              <w:t>50 Above</w:t>
            </w:r>
          </w:p>
        </w:tc>
        <w:tc>
          <w:tcPr>
            <w:tcW w:w="1366" w:type="dxa"/>
            <w:tcBorders>
              <w:top w:val="single" w:sz="4" w:space="0" w:color="000000"/>
              <w:left w:val="single" w:sz="4" w:space="0" w:color="000000"/>
              <w:bottom w:val="single" w:sz="4" w:space="0" w:color="000000"/>
              <w:right w:val="single" w:sz="4" w:space="0" w:color="000000"/>
            </w:tcBorders>
            <w:hideMark/>
          </w:tcPr>
          <w:p w14:paraId="40F22752" w14:textId="77777777" w:rsidR="00263889" w:rsidRPr="00263889" w:rsidRDefault="00263889">
            <w:pPr>
              <w:pStyle w:val="TableParagraph"/>
              <w:rPr>
                <w:sz w:val="18"/>
                <w:szCs w:val="18"/>
              </w:rPr>
            </w:pPr>
            <w:r w:rsidRPr="00263889">
              <w:rPr>
                <w:sz w:val="18"/>
                <w:szCs w:val="18"/>
              </w:rPr>
              <w:t>6</w:t>
            </w:r>
          </w:p>
        </w:tc>
        <w:tc>
          <w:tcPr>
            <w:tcW w:w="1680" w:type="dxa"/>
            <w:tcBorders>
              <w:top w:val="single" w:sz="4" w:space="0" w:color="000000"/>
              <w:left w:val="single" w:sz="4" w:space="0" w:color="000000"/>
              <w:bottom w:val="single" w:sz="4" w:space="0" w:color="000000"/>
              <w:right w:val="single" w:sz="4" w:space="0" w:color="000000"/>
            </w:tcBorders>
            <w:hideMark/>
          </w:tcPr>
          <w:p w14:paraId="24DB5766" w14:textId="77777777" w:rsidR="00263889" w:rsidRPr="00263889" w:rsidRDefault="00263889">
            <w:pPr>
              <w:pStyle w:val="TableParagraph"/>
              <w:ind w:left="167"/>
              <w:rPr>
                <w:sz w:val="18"/>
                <w:szCs w:val="18"/>
              </w:rPr>
            </w:pPr>
            <w:r w:rsidRPr="00263889">
              <w:rPr>
                <w:sz w:val="18"/>
                <w:szCs w:val="18"/>
              </w:rPr>
              <w:t>4.0</w:t>
            </w:r>
          </w:p>
        </w:tc>
      </w:tr>
      <w:tr w:rsidR="00263889" w14:paraId="5B41580A" w14:textId="77777777" w:rsidTr="00263889">
        <w:trPr>
          <w:trHeight w:val="252"/>
          <w:jc w:val="center"/>
        </w:trPr>
        <w:tc>
          <w:tcPr>
            <w:tcW w:w="1522" w:type="dxa"/>
            <w:vMerge w:val="restart"/>
            <w:tcBorders>
              <w:top w:val="single" w:sz="4" w:space="0" w:color="000000"/>
              <w:left w:val="single" w:sz="4" w:space="0" w:color="000000"/>
              <w:bottom w:val="single" w:sz="4" w:space="0" w:color="000000"/>
              <w:right w:val="single" w:sz="4" w:space="0" w:color="000000"/>
            </w:tcBorders>
            <w:hideMark/>
          </w:tcPr>
          <w:p w14:paraId="645F8B7D" w14:textId="77777777" w:rsidR="00263889" w:rsidRPr="00263889" w:rsidRDefault="00263889">
            <w:pPr>
              <w:pStyle w:val="TableParagraph"/>
              <w:spacing w:before="1" w:line="240" w:lineRule="auto"/>
              <w:ind w:left="107"/>
              <w:rPr>
                <w:sz w:val="18"/>
                <w:szCs w:val="18"/>
              </w:rPr>
            </w:pPr>
            <w:r w:rsidRPr="00263889">
              <w:rPr>
                <w:sz w:val="18"/>
                <w:szCs w:val="18"/>
              </w:rPr>
              <w:t>Status</w:t>
            </w:r>
          </w:p>
        </w:tc>
        <w:tc>
          <w:tcPr>
            <w:tcW w:w="1522" w:type="dxa"/>
            <w:tcBorders>
              <w:top w:val="single" w:sz="4" w:space="0" w:color="000000"/>
              <w:left w:val="single" w:sz="4" w:space="0" w:color="000000"/>
              <w:bottom w:val="single" w:sz="4" w:space="0" w:color="000000"/>
              <w:right w:val="single" w:sz="4" w:space="0" w:color="000000"/>
            </w:tcBorders>
            <w:hideMark/>
          </w:tcPr>
          <w:p w14:paraId="40773478" w14:textId="77777777" w:rsidR="00263889" w:rsidRPr="00263889" w:rsidRDefault="00263889">
            <w:pPr>
              <w:pStyle w:val="TableParagraph"/>
              <w:spacing w:before="1"/>
              <w:rPr>
                <w:sz w:val="18"/>
                <w:szCs w:val="18"/>
              </w:rPr>
            </w:pPr>
            <w:r w:rsidRPr="00263889">
              <w:rPr>
                <w:sz w:val="18"/>
                <w:szCs w:val="18"/>
              </w:rPr>
              <w:t>Single</w:t>
            </w:r>
          </w:p>
        </w:tc>
        <w:tc>
          <w:tcPr>
            <w:tcW w:w="1366" w:type="dxa"/>
            <w:tcBorders>
              <w:top w:val="single" w:sz="4" w:space="0" w:color="000000"/>
              <w:left w:val="single" w:sz="4" w:space="0" w:color="000000"/>
              <w:bottom w:val="single" w:sz="4" w:space="0" w:color="000000"/>
              <w:right w:val="single" w:sz="4" w:space="0" w:color="000000"/>
            </w:tcBorders>
            <w:hideMark/>
          </w:tcPr>
          <w:p w14:paraId="3824B550" w14:textId="77777777" w:rsidR="00263889" w:rsidRPr="00263889" w:rsidRDefault="00263889">
            <w:pPr>
              <w:pStyle w:val="TableParagraph"/>
              <w:spacing w:before="1"/>
              <w:rPr>
                <w:sz w:val="18"/>
                <w:szCs w:val="18"/>
              </w:rPr>
            </w:pPr>
            <w:r w:rsidRPr="00263889">
              <w:rPr>
                <w:sz w:val="18"/>
                <w:szCs w:val="18"/>
              </w:rPr>
              <w:t>62</w:t>
            </w:r>
          </w:p>
        </w:tc>
        <w:tc>
          <w:tcPr>
            <w:tcW w:w="1680" w:type="dxa"/>
            <w:tcBorders>
              <w:top w:val="single" w:sz="4" w:space="0" w:color="000000"/>
              <w:left w:val="single" w:sz="4" w:space="0" w:color="000000"/>
              <w:bottom w:val="single" w:sz="4" w:space="0" w:color="000000"/>
              <w:right w:val="single" w:sz="4" w:space="0" w:color="000000"/>
            </w:tcBorders>
            <w:hideMark/>
          </w:tcPr>
          <w:p w14:paraId="734C901B" w14:textId="77777777" w:rsidR="00263889" w:rsidRPr="00263889" w:rsidRDefault="00263889">
            <w:pPr>
              <w:pStyle w:val="TableParagraph"/>
              <w:spacing w:before="1"/>
              <w:ind w:left="167"/>
              <w:rPr>
                <w:sz w:val="18"/>
                <w:szCs w:val="18"/>
              </w:rPr>
            </w:pPr>
            <w:r w:rsidRPr="00263889">
              <w:rPr>
                <w:sz w:val="18"/>
                <w:szCs w:val="18"/>
              </w:rPr>
              <w:t>41.3</w:t>
            </w:r>
          </w:p>
        </w:tc>
      </w:tr>
      <w:tr w:rsidR="00263889" w14:paraId="121D0043"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74DB57C3"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1DC2D5C5" w14:textId="77777777" w:rsidR="00263889" w:rsidRPr="00263889" w:rsidRDefault="00263889">
            <w:pPr>
              <w:pStyle w:val="TableParagraph"/>
              <w:rPr>
                <w:sz w:val="18"/>
                <w:szCs w:val="18"/>
              </w:rPr>
            </w:pPr>
            <w:r w:rsidRPr="00263889">
              <w:rPr>
                <w:sz w:val="18"/>
                <w:szCs w:val="18"/>
              </w:rPr>
              <w:t>Married</w:t>
            </w:r>
          </w:p>
        </w:tc>
        <w:tc>
          <w:tcPr>
            <w:tcW w:w="1366" w:type="dxa"/>
            <w:tcBorders>
              <w:top w:val="single" w:sz="4" w:space="0" w:color="000000"/>
              <w:left w:val="single" w:sz="4" w:space="0" w:color="000000"/>
              <w:bottom w:val="single" w:sz="4" w:space="0" w:color="000000"/>
              <w:right w:val="single" w:sz="4" w:space="0" w:color="000000"/>
            </w:tcBorders>
            <w:hideMark/>
          </w:tcPr>
          <w:p w14:paraId="568F98D8" w14:textId="77777777" w:rsidR="00263889" w:rsidRPr="00263889" w:rsidRDefault="00263889">
            <w:pPr>
              <w:pStyle w:val="TableParagraph"/>
              <w:rPr>
                <w:sz w:val="18"/>
                <w:szCs w:val="18"/>
              </w:rPr>
            </w:pPr>
            <w:r w:rsidRPr="00263889">
              <w:rPr>
                <w:sz w:val="18"/>
                <w:szCs w:val="18"/>
              </w:rPr>
              <w:t>84</w:t>
            </w:r>
          </w:p>
        </w:tc>
        <w:tc>
          <w:tcPr>
            <w:tcW w:w="1680" w:type="dxa"/>
            <w:tcBorders>
              <w:top w:val="single" w:sz="4" w:space="0" w:color="000000"/>
              <w:left w:val="single" w:sz="4" w:space="0" w:color="000000"/>
              <w:bottom w:val="single" w:sz="4" w:space="0" w:color="000000"/>
              <w:right w:val="single" w:sz="4" w:space="0" w:color="000000"/>
            </w:tcBorders>
            <w:hideMark/>
          </w:tcPr>
          <w:p w14:paraId="5DE76BBC" w14:textId="77777777" w:rsidR="00263889" w:rsidRPr="00263889" w:rsidRDefault="00263889">
            <w:pPr>
              <w:pStyle w:val="TableParagraph"/>
              <w:ind w:left="167"/>
              <w:rPr>
                <w:sz w:val="18"/>
                <w:szCs w:val="18"/>
              </w:rPr>
            </w:pPr>
            <w:r w:rsidRPr="00263889">
              <w:rPr>
                <w:sz w:val="18"/>
                <w:szCs w:val="18"/>
              </w:rPr>
              <w:t>56.0</w:t>
            </w:r>
          </w:p>
        </w:tc>
      </w:tr>
      <w:tr w:rsidR="00263889" w14:paraId="4A0FB060"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7D9FD291"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775E08C5" w14:textId="77777777" w:rsidR="00263889" w:rsidRPr="00263889" w:rsidRDefault="00263889">
            <w:pPr>
              <w:pStyle w:val="TableParagraph"/>
              <w:rPr>
                <w:sz w:val="18"/>
                <w:szCs w:val="18"/>
              </w:rPr>
            </w:pPr>
            <w:r w:rsidRPr="00263889">
              <w:rPr>
                <w:sz w:val="18"/>
                <w:szCs w:val="18"/>
              </w:rPr>
              <w:t>Divorce</w:t>
            </w:r>
          </w:p>
        </w:tc>
        <w:tc>
          <w:tcPr>
            <w:tcW w:w="1366" w:type="dxa"/>
            <w:tcBorders>
              <w:top w:val="single" w:sz="4" w:space="0" w:color="000000"/>
              <w:left w:val="single" w:sz="4" w:space="0" w:color="000000"/>
              <w:bottom w:val="single" w:sz="4" w:space="0" w:color="000000"/>
              <w:right w:val="single" w:sz="4" w:space="0" w:color="000000"/>
            </w:tcBorders>
            <w:hideMark/>
          </w:tcPr>
          <w:p w14:paraId="6D8376C2" w14:textId="77777777" w:rsidR="00263889" w:rsidRPr="00263889" w:rsidRDefault="00263889">
            <w:pPr>
              <w:pStyle w:val="TableParagraph"/>
              <w:rPr>
                <w:sz w:val="18"/>
                <w:szCs w:val="18"/>
              </w:rPr>
            </w:pPr>
            <w:r w:rsidRPr="00263889">
              <w:rPr>
                <w:sz w:val="18"/>
                <w:szCs w:val="18"/>
              </w:rPr>
              <w:t>4</w:t>
            </w:r>
          </w:p>
        </w:tc>
        <w:tc>
          <w:tcPr>
            <w:tcW w:w="1680" w:type="dxa"/>
            <w:tcBorders>
              <w:top w:val="single" w:sz="4" w:space="0" w:color="000000"/>
              <w:left w:val="single" w:sz="4" w:space="0" w:color="000000"/>
              <w:bottom w:val="single" w:sz="4" w:space="0" w:color="000000"/>
              <w:right w:val="single" w:sz="4" w:space="0" w:color="000000"/>
            </w:tcBorders>
            <w:hideMark/>
          </w:tcPr>
          <w:p w14:paraId="676FE0CB" w14:textId="77777777" w:rsidR="00263889" w:rsidRPr="00263889" w:rsidRDefault="00263889">
            <w:pPr>
              <w:pStyle w:val="TableParagraph"/>
              <w:ind w:left="167"/>
              <w:rPr>
                <w:sz w:val="18"/>
                <w:szCs w:val="18"/>
              </w:rPr>
            </w:pPr>
            <w:r w:rsidRPr="00263889">
              <w:rPr>
                <w:sz w:val="18"/>
                <w:szCs w:val="18"/>
              </w:rPr>
              <w:t>2.7</w:t>
            </w:r>
          </w:p>
        </w:tc>
      </w:tr>
      <w:tr w:rsidR="00263889" w14:paraId="46EC0B66" w14:textId="77777777" w:rsidTr="00263889">
        <w:trPr>
          <w:trHeight w:val="252"/>
          <w:jc w:val="center"/>
        </w:trPr>
        <w:tc>
          <w:tcPr>
            <w:tcW w:w="1522" w:type="dxa"/>
            <w:vMerge w:val="restart"/>
            <w:tcBorders>
              <w:top w:val="single" w:sz="4" w:space="0" w:color="000000"/>
              <w:left w:val="single" w:sz="4" w:space="0" w:color="000000"/>
              <w:bottom w:val="single" w:sz="4" w:space="0" w:color="000000"/>
              <w:right w:val="single" w:sz="4" w:space="0" w:color="000000"/>
            </w:tcBorders>
            <w:hideMark/>
          </w:tcPr>
          <w:p w14:paraId="56EE2A8A" w14:textId="77777777" w:rsidR="00263889" w:rsidRPr="00263889" w:rsidRDefault="00263889">
            <w:pPr>
              <w:pStyle w:val="TableParagraph"/>
              <w:spacing w:before="1" w:line="240" w:lineRule="auto"/>
              <w:ind w:left="107"/>
              <w:rPr>
                <w:sz w:val="18"/>
                <w:szCs w:val="18"/>
              </w:rPr>
            </w:pPr>
            <w:r w:rsidRPr="00263889">
              <w:rPr>
                <w:sz w:val="18"/>
                <w:szCs w:val="18"/>
              </w:rPr>
              <w:t>Education</w:t>
            </w:r>
          </w:p>
        </w:tc>
        <w:tc>
          <w:tcPr>
            <w:tcW w:w="1522" w:type="dxa"/>
            <w:tcBorders>
              <w:top w:val="single" w:sz="4" w:space="0" w:color="000000"/>
              <w:left w:val="single" w:sz="4" w:space="0" w:color="000000"/>
              <w:bottom w:val="single" w:sz="4" w:space="0" w:color="000000"/>
              <w:right w:val="single" w:sz="4" w:space="0" w:color="000000"/>
            </w:tcBorders>
            <w:hideMark/>
          </w:tcPr>
          <w:p w14:paraId="09E2DDE8" w14:textId="77777777" w:rsidR="00263889" w:rsidRPr="00263889" w:rsidRDefault="00263889">
            <w:pPr>
              <w:pStyle w:val="TableParagraph"/>
              <w:spacing w:before="1"/>
              <w:rPr>
                <w:sz w:val="18"/>
                <w:szCs w:val="18"/>
              </w:rPr>
            </w:pPr>
            <w:r w:rsidRPr="00263889">
              <w:rPr>
                <w:sz w:val="18"/>
                <w:szCs w:val="18"/>
              </w:rPr>
              <w:t>PMR</w:t>
            </w:r>
          </w:p>
        </w:tc>
        <w:tc>
          <w:tcPr>
            <w:tcW w:w="1366" w:type="dxa"/>
            <w:tcBorders>
              <w:top w:val="single" w:sz="4" w:space="0" w:color="000000"/>
              <w:left w:val="single" w:sz="4" w:space="0" w:color="000000"/>
              <w:bottom w:val="single" w:sz="4" w:space="0" w:color="000000"/>
              <w:right w:val="single" w:sz="4" w:space="0" w:color="000000"/>
            </w:tcBorders>
            <w:hideMark/>
          </w:tcPr>
          <w:p w14:paraId="5F67C4BA" w14:textId="77777777" w:rsidR="00263889" w:rsidRPr="00263889" w:rsidRDefault="00263889">
            <w:pPr>
              <w:pStyle w:val="TableParagraph"/>
              <w:spacing w:before="1"/>
              <w:rPr>
                <w:sz w:val="18"/>
                <w:szCs w:val="18"/>
              </w:rPr>
            </w:pPr>
            <w:r w:rsidRPr="00263889">
              <w:rPr>
                <w:sz w:val="18"/>
                <w:szCs w:val="18"/>
              </w:rPr>
              <w:t>5</w:t>
            </w:r>
          </w:p>
        </w:tc>
        <w:tc>
          <w:tcPr>
            <w:tcW w:w="1680" w:type="dxa"/>
            <w:tcBorders>
              <w:top w:val="single" w:sz="4" w:space="0" w:color="000000"/>
              <w:left w:val="single" w:sz="4" w:space="0" w:color="000000"/>
              <w:bottom w:val="single" w:sz="4" w:space="0" w:color="000000"/>
              <w:right w:val="single" w:sz="4" w:space="0" w:color="000000"/>
            </w:tcBorders>
            <w:hideMark/>
          </w:tcPr>
          <w:p w14:paraId="2AF2FD4C" w14:textId="77777777" w:rsidR="00263889" w:rsidRPr="00263889" w:rsidRDefault="00263889">
            <w:pPr>
              <w:pStyle w:val="TableParagraph"/>
              <w:spacing w:before="1"/>
              <w:ind w:left="167"/>
              <w:rPr>
                <w:sz w:val="18"/>
                <w:szCs w:val="18"/>
              </w:rPr>
            </w:pPr>
            <w:r w:rsidRPr="00263889">
              <w:rPr>
                <w:sz w:val="18"/>
                <w:szCs w:val="18"/>
              </w:rPr>
              <w:t>3.3</w:t>
            </w:r>
          </w:p>
        </w:tc>
      </w:tr>
      <w:tr w:rsidR="00263889" w14:paraId="2F2DA83F"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687E2A22"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4B2351A3" w14:textId="77777777" w:rsidR="00263889" w:rsidRPr="00263889" w:rsidRDefault="00263889">
            <w:pPr>
              <w:pStyle w:val="TableParagraph"/>
              <w:rPr>
                <w:sz w:val="18"/>
                <w:szCs w:val="18"/>
              </w:rPr>
            </w:pPr>
            <w:r w:rsidRPr="00263889">
              <w:rPr>
                <w:sz w:val="18"/>
                <w:szCs w:val="18"/>
              </w:rPr>
              <w:t>SPM</w:t>
            </w:r>
          </w:p>
        </w:tc>
        <w:tc>
          <w:tcPr>
            <w:tcW w:w="1366" w:type="dxa"/>
            <w:tcBorders>
              <w:top w:val="single" w:sz="4" w:space="0" w:color="000000"/>
              <w:left w:val="single" w:sz="4" w:space="0" w:color="000000"/>
              <w:bottom w:val="single" w:sz="4" w:space="0" w:color="000000"/>
              <w:right w:val="single" w:sz="4" w:space="0" w:color="000000"/>
            </w:tcBorders>
            <w:hideMark/>
          </w:tcPr>
          <w:p w14:paraId="24FFBAA6" w14:textId="77777777" w:rsidR="00263889" w:rsidRPr="00263889" w:rsidRDefault="00263889">
            <w:pPr>
              <w:pStyle w:val="TableParagraph"/>
              <w:rPr>
                <w:sz w:val="18"/>
                <w:szCs w:val="18"/>
              </w:rPr>
            </w:pPr>
            <w:r w:rsidRPr="00263889">
              <w:rPr>
                <w:sz w:val="18"/>
                <w:szCs w:val="18"/>
              </w:rPr>
              <w:t>24</w:t>
            </w:r>
          </w:p>
        </w:tc>
        <w:tc>
          <w:tcPr>
            <w:tcW w:w="1680" w:type="dxa"/>
            <w:tcBorders>
              <w:top w:val="single" w:sz="4" w:space="0" w:color="000000"/>
              <w:left w:val="single" w:sz="4" w:space="0" w:color="000000"/>
              <w:bottom w:val="single" w:sz="4" w:space="0" w:color="000000"/>
              <w:right w:val="single" w:sz="4" w:space="0" w:color="000000"/>
            </w:tcBorders>
            <w:hideMark/>
          </w:tcPr>
          <w:p w14:paraId="01A84362" w14:textId="77777777" w:rsidR="00263889" w:rsidRPr="00263889" w:rsidRDefault="00263889">
            <w:pPr>
              <w:pStyle w:val="TableParagraph"/>
              <w:ind w:left="167"/>
              <w:rPr>
                <w:sz w:val="18"/>
                <w:szCs w:val="18"/>
              </w:rPr>
            </w:pPr>
            <w:r w:rsidRPr="00263889">
              <w:rPr>
                <w:sz w:val="18"/>
                <w:szCs w:val="18"/>
              </w:rPr>
              <w:t>16.0</w:t>
            </w:r>
          </w:p>
        </w:tc>
      </w:tr>
      <w:tr w:rsidR="00263889" w14:paraId="181E5CFB"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059C41B9"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56920419" w14:textId="77777777" w:rsidR="00263889" w:rsidRPr="00263889" w:rsidRDefault="00263889">
            <w:pPr>
              <w:pStyle w:val="TableParagraph"/>
              <w:rPr>
                <w:sz w:val="18"/>
                <w:szCs w:val="18"/>
              </w:rPr>
            </w:pPr>
            <w:r w:rsidRPr="00263889">
              <w:rPr>
                <w:sz w:val="18"/>
                <w:szCs w:val="18"/>
              </w:rPr>
              <w:t>Matriculation</w:t>
            </w:r>
          </w:p>
        </w:tc>
        <w:tc>
          <w:tcPr>
            <w:tcW w:w="1366" w:type="dxa"/>
            <w:tcBorders>
              <w:top w:val="single" w:sz="4" w:space="0" w:color="000000"/>
              <w:left w:val="single" w:sz="4" w:space="0" w:color="000000"/>
              <w:bottom w:val="single" w:sz="4" w:space="0" w:color="000000"/>
              <w:right w:val="single" w:sz="4" w:space="0" w:color="000000"/>
            </w:tcBorders>
            <w:hideMark/>
          </w:tcPr>
          <w:p w14:paraId="3AB429E2" w14:textId="77777777" w:rsidR="00263889" w:rsidRPr="00263889" w:rsidRDefault="00263889">
            <w:pPr>
              <w:pStyle w:val="TableParagraph"/>
              <w:rPr>
                <w:sz w:val="18"/>
                <w:szCs w:val="18"/>
              </w:rPr>
            </w:pPr>
            <w:r w:rsidRPr="00263889">
              <w:rPr>
                <w:sz w:val="18"/>
                <w:szCs w:val="18"/>
              </w:rPr>
              <w:t>38</w:t>
            </w:r>
          </w:p>
        </w:tc>
        <w:tc>
          <w:tcPr>
            <w:tcW w:w="1680" w:type="dxa"/>
            <w:tcBorders>
              <w:top w:val="single" w:sz="4" w:space="0" w:color="000000"/>
              <w:left w:val="single" w:sz="4" w:space="0" w:color="000000"/>
              <w:bottom w:val="single" w:sz="4" w:space="0" w:color="000000"/>
              <w:right w:val="single" w:sz="4" w:space="0" w:color="000000"/>
            </w:tcBorders>
            <w:hideMark/>
          </w:tcPr>
          <w:p w14:paraId="2CB78963" w14:textId="77777777" w:rsidR="00263889" w:rsidRPr="00263889" w:rsidRDefault="00263889">
            <w:pPr>
              <w:pStyle w:val="TableParagraph"/>
              <w:ind w:left="167"/>
              <w:rPr>
                <w:sz w:val="18"/>
                <w:szCs w:val="18"/>
              </w:rPr>
            </w:pPr>
            <w:r w:rsidRPr="00263889">
              <w:rPr>
                <w:sz w:val="18"/>
                <w:szCs w:val="18"/>
              </w:rPr>
              <w:t>25.3</w:t>
            </w:r>
          </w:p>
        </w:tc>
      </w:tr>
      <w:tr w:rsidR="00263889" w14:paraId="52580348" w14:textId="77777777" w:rsidTr="00263889">
        <w:trPr>
          <w:trHeight w:val="253"/>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5FE1BDA2"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7234CF62" w14:textId="77777777" w:rsidR="00263889" w:rsidRPr="00263889" w:rsidRDefault="00263889">
            <w:pPr>
              <w:pStyle w:val="TableParagraph"/>
              <w:spacing w:before="1"/>
              <w:rPr>
                <w:sz w:val="18"/>
                <w:szCs w:val="18"/>
              </w:rPr>
            </w:pPr>
            <w:r w:rsidRPr="00263889">
              <w:rPr>
                <w:sz w:val="18"/>
                <w:szCs w:val="18"/>
              </w:rPr>
              <w:t>Degree</w:t>
            </w:r>
          </w:p>
        </w:tc>
        <w:tc>
          <w:tcPr>
            <w:tcW w:w="1366" w:type="dxa"/>
            <w:tcBorders>
              <w:top w:val="single" w:sz="4" w:space="0" w:color="000000"/>
              <w:left w:val="single" w:sz="4" w:space="0" w:color="000000"/>
              <w:bottom w:val="single" w:sz="4" w:space="0" w:color="000000"/>
              <w:right w:val="single" w:sz="4" w:space="0" w:color="000000"/>
            </w:tcBorders>
            <w:hideMark/>
          </w:tcPr>
          <w:p w14:paraId="6F04D324" w14:textId="77777777" w:rsidR="00263889" w:rsidRPr="00263889" w:rsidRDefault="00263889">
            <w:pPr>
              <w:pStyle w:val="TableParagraph"/>
              <w:spacing w:before="1"/>
              <w:rPr>
                <w:sz w:val="18"/>
                <w:szCs w:val="18"/>
              </w:rPr>
            </w:pPr>
            <w:r w:rsidRPr="00263889">
              <w:rPr>
                <w:sz w:val="18"/>
                <w:szCs w:val="18"/>
              </w:rPr>
              <w:t>80</w:t>
            </w:r>
          </w:p>
        </w:tc>
        <w:tc>
          <w:tcPr>
            <w:tcW w:w="1680" w:type="dxa"/>
            <w:tcBorders>
              <w:top w:val="single" w:sz="4" w:space="0" w:color="000000"/>
              <w:left w:val="single" w:sz="4" w:space="0" w:color="000000"/>
              <w:bottom w:val="single" w:sz="4" w:space="0" w:color="000000"/>
              <w:right w:val="single" w:sz="4" w:space="0" w:color="000000"/>
            </w:tcBorders>
            <w:hideMark/>
          </w:tcPr>
          <w:p w14:paraId="272505B0" w14:textId="77777777" w:rsidR="00263889" w:rsidRPr="00263889" w:rsidRDefault="00263889">
            <w:pPr>
              <w:pStyle w:val="TableParagraph"/>
              <w:spacing w:before="1"/>
              <w:ind w:left="167"/>
              <w:rPr>
                <w:sz w:val="18"/>
                <w:szCs w:val="18"/>
              </w:rPr>
            </w:pPr>
            <w:r w:rsidRPr="00263889">
              <w:rPr>
                <w:sz w:val="18"/>
                <w:szCs w:val="18"/>
              </w:rPr>
              <w:t>53.3</w:t>
            </w:r>
          </w:p>
        </w:tc>
      </w:tr>
      <w:tr w:rsidR="00263889" w14:paraId="5317F097"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1582D2E6"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56E1910D" w14:textId="77777777" w:rsidR="00263889" w:rsidRPr="00263889" w:rsidRDefault="00263889">
            <w:pPr>
              <w:pStyle w:val="TableParagraph"/>
              <w:rPr>
                <w:sz w:val="18"/>
                <w:szCs w:val="18"/>
              </w:rPr>
            </w:pPr>
            <w:r w:rsidRPr="00263889">
              <w:rPr>
                <w:sz w:val="18"/>
                <w:szCs w:val="18"/>
              </w:rPr>
              <w:t>Others</w:t>
            </w:r>
          </w:p>
        </w:tc>
        <w:tc>
          <w:tcPr>
            <w:tcW w:w="1366" w:type="dxa"/>
            <w:tcBorders>
              <w:top w:val="single" w:sz="4" w:space="0" w:color="000000"/>
              <w:left w:val="single" w:sz="4" w:space="0" w:color="000000"/>
              <w:bottom w:val="single" w:sz="4" w:space="0" w:color="000000"/>
              <w:right w:val="single" w:sz="4" w:space="0" w:color="000000"/>
            </w:tcBorders>
            <w:hideMark/>
          </w:tcPr>
          <w:p w14:paraId="26869536" w14:textId="77777777" w:rsidR="00263889" w:rsidRPr="00263889" w:rsidRDefault="00263889">
            <w:pPr>
              <w:pStyle w:val="TableParagraph"/>
              <w:rPr>
                <w:sz w:val="18"/>
                <w:szCs w:val="18"/>
              </w:rPr>
            </w:pPr>
            <w:r w:rsidRPr="00263889">
              <w:rPr>
                <w:sz w:val="18"/>
                <w:szCs w:val="18"/>
              </w:rPr>
              <w:t>3</w:t>
            </w:r>
          </w:p>
        </w:tc>
        <w:tc>
          <w:tcPr>
            <w:tcW w:w="1680" w:type="dxa"/>
            <w:tcBorders>
              <w:top w:val="single" w:sz="4" w:space="0" w:color="000000"/>
              <w:left w:val="single" w:sz="4" w:space="0" w:color="000000"/>
              <w:bottom w:val="single" w:sz="4" w:space="0" w:color="000000"/>
              <w:right w:val="single" w:sz="4" w:space="0" w:color="000000"/>
            </w:tcBorders>
            <w:hideMark/>
          </w:tcPr>
          <w:p w14:paraId="14170B44" w14:textId="77777777" w:rsidR="00263889" w:rsidRPr="00263889" w:rsidRDefault="00263889">
            <w:pPr>
              <w:pStyle w:val="TableParagraph"/>
              <w:ind w:left="167"/>
              <w:rPr>
                <w:sz w:val="18"/>
                <w:szCs w:val="18"/>
              </w:rPr>
            </w:pPr>
            <w:r w:rsidRPr="00263889">
              <w:rPr>
                <w:sz w:val="18"/>
                <w:szCs w:val="18"/>
              </w:rPr>
              <w:t>2.0</w:t>
            </w:r>
          </w:p>
        </w:tc>
      </w:tr>
      <w:tr w:rsidR="00263889" w14:paraId="0C13D6D9" w14:textId="77777777" w:rsidTr="00263889">
        <w:trPr>
          <w:trHeight w:val="251"/>
          <w:jc w:val="center"/>
        </w:trPr>
        <w:tc>
          <w:tcPr>
            <w:tcW w:w="1522" w:type="dxa"/>
            <w:vMerge w:val="restart"/>
            <w:tcBorders>
              <w:top w:val="single" w:sz="4" w:space="0" w:color="000000"/>
              <w:left w:val="single" w:sz="4" w:space="0" w:color="000000"/>
              <w:bottom w:val="single" w:sz="4" w:space="0" w:color="000000"/>
              <w:right w:val="single" w:sz="4" w:space="0" w:color="000000"/>
            </w:tcBorders>
            <w:hideMark/>
          </w:tcPr>
          <w:p w14:paraId="5875B63B" w14:textId="77777777" w:rsidR="00263889" w:rsidRPr="00263889" w:rsidRDefault="00263889">
            <w:pPr>
              <w:pStyle w:val="TableParagraph"/>
              <w:spacing w:line="240" w:lineRule="auto"/>
              <w:ind w:left="107"/>
              <w:rPr>
                <w:sz w:val="18"/>
                <w:szCs w:val="18"/>
              </w:rPr>
            </w:pPr>
            <w:r w:rsidRPr="00263889">
              <w:rPr>
                <w:sz w:val="18"/>
                <w:szCs w:val="18"/>
              </w:rPr>
              <w:t>Salary</w:t>
            </w:r>
          </w:p>
        </w:tc>
        <w:tc>
          <w:tcPr>
            <w:tcW w:w="1522" w:type="dxa"/>
            <w:tcBorders>
              <w:top w:val="single" w:sz="4" w:space="0" w:color="000000"/>
              <w:left w:val="single" w:sz="4" w:space="0" w:color="000000"/>
              <w:bottom w:val="single" w:sz="4" w:space="0" w:color="000000"/>
              <w:right w:val="single" w:sz="4" w:space="0" w:color="000000"/>
            </w:tcBorders>
            <w:hideMark/>
          </w:tcPr>
          <w:p w14:paraId="36DCEC6C" w14:textId="77777777" w:rsidR="00263889" w:rsidRPr="00263889" w:rsidRDefault="00263889">
            <w:pPr>
              <w:pStyle w:val="TableParagraph"/>
              <w:rPr>
                <w:sz w:val="18"/>
                <w:szCs w:val="18"/>
              </w:rPr>
            </w:pPr>
            <w:r w:rsidRPr="00263889">
              <w:rPr>
                <w:sz w:val="18"/>
                <w:szCs w:val="18"/>
              </w:rPr>
              <w:t>Below 2000</w:t>
            </w:r>
          </w:p>
        </w:tc>
        <w:tc>
          <w:tcPr>
            <w:tcW w:w="1366" w:type="dxa"/>
            <w:tcBorders>
              <w:top w:val="single" w:sz="4" w:space="0" w:color="000000"/>
              <w:left w:val="single" w:sz="4" w:space="0" w:color="000000"/>
              <w:bottom w:val="single" w:sz="4" w:space="0" w:color="000000"/>
              <w:right w:val="single" w:sz="4" w:space="0" w:color="000000"/>
            </w:tcBorders>
            <w:hideMark/>
          </w:tcPr>
          <w:p w14:paraId="5466AFCB" w14:textId="77777777" w:rsidR="00263889" w:rsidRPr="00263889" w:rsidRDefault="00263889">
            <w:pPr>
              <w:pStyle w:val="TableParagraph"/>
              <w:rPr>
                <w:sz w:val="18"/>
                <w:szCs w:val="18"/>
              </w:rPr>
            </w:pPr>
            <w:r w:rsidRPr="00263889">
              <w:rPr>
                <w:sz w:val="18"/>
                <w:szCs w:val="18"/>
              </w:rPr>
              <w:t>50</w:t>
            </w:r>
          </w:p>
        </w:tc>
        <w:tc>
          <w:tcPr>
            <w:tcW w:w="1680" w:type="dxa"/>
            <w:tcBorders>
              <w:top w:val="single" w:sz="4" w:space="0" w:color="000000"/>
              <w:left w:val="single" w:sz="4" w:space="0" w:color="000000"/>
              <w:bottom w:val="single" w:sz="4" w:space="0" w:color="000000"/>
              <w:right w:val="single" w:sz="4" w:space="0" w:color="000000"/>
            </w:tcBorders>
            <w:hideMark/>
          </w:tcPr>
          <w:p w14:paraId="0272E04F" w14:textId="77777777" w:rsidR="00263889" w:rsidRPr="00263889" w:rsidRDefault="00263889">
            <w:pPr>
              <w:pStyle w:val="TableParagraph"/>
              <w:ind w:left="167"/>
              <w:rPr>
                <w:sz w:val="18"/>
                <w:szCs w:val="18"/>
              </w:rPr>
            </w:pPr>
            <w:r w:rsidRPr="00263889">
              <w:rPr>
                <w:sz w:val="18"/>
                <w:szCs w:val="18"/>
              </w:rPr>
              <w:t>33.3</w:t>
            </w:r>
          </w:p>
        </w:tc>
      </w:tr>
      <w:tr w:rsidR="00263889" w14:paraId="239B4F0C"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7025F363"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7AF70268" w14:textId="77777777" w:rsidR="00263889" w:rsidRPr="00263889" w:rsidRDefault="00263889">
            <w:pPr>
              <w:pStyle w:val="TableParagraph"/>
              <w:rPr>
                <w:sz w:val="18"/>
                <w:szCs w:val="18"/>
              </w:rPr>
            </w:pPr>
            <w:r w:rsidRPr="00263889">
              <w:rPr>
                <w:sz w:val="18"/>
                <w:szCs w:val="18"/>
              </w:rPr>
              <w:t>2001-3001</w:t>
            </w:r>
          </w:p>
        </w:tc>
        <w:tc>
          <w:tcPr>
            <w:tcW w:w="1366" w:type="dxa"/>
            <w:tcBorders>
              <w:top w:val="single" w:sz="4" w:space="0" w:color="000000"/>
              <w:left w:val="single" w:sz="4" w:space="0" w:color="000000"/>
              <w:bottom w:val="single" w:sz="4" w:space="0" w:color="000000"/>
              <w:right w:val="single" w:sz="4" w:space="0" w:color="000000"/>
            </w:tcBorders>
            <w:hideMark/>
          </w:tcPr>
          <w:p w14:paraId="71243E99" w14:textId="77777777" w:rsidR="00263889" w:rsidRPr="00263889" w:rsidRDefault="00263889">
            <w:pPr>
              <w:pStyle w:val="TableParagraph"/>
              <w:rPr>
                <w:sz w:val="18"/>
                <w:szCs w:val="18"/>
              </w:rPr>
            </w:pPr>
            <w:r w:rsidRPr="00263889">
              <w:rPr>
                <w:sz w:val="18"/>
                <w:szCs w:val="18"/>
              </w:rPr>
              <w:t>54</w:t>
            </w:r>
          </w:p>
        </w:tc>
        <w:tc>
          <w:tcPr>
            <w:tcW w:w="1680" w:type="dxa"/>
            <w:tcBorders>
              <w:top w:val="single" w:sz="4" w:space="0" w:color="000000"/>
              <w:left w:val="single" w:sz="4" w:space="0" w:color="000000"/>
              <w:bottom w:val="single" w:sz="4" w:space="0" w:color="000000"/>
              <w:right w:val="single" w:sz="4" w:space="0" w:color="000000"/>
            </w:tcBorders>
            <w:hideMark/>
          </w:tcPr>
          <w:p w14:paraId="1682664D" w14:textId="77777777" w:rsidR="00263889" w:rsidRPr="00263889" w:rsidRDefault="00263889">
            <w:pPr>
              <w:pStyle w:val="TableParagraph"/>
              <w:ind w:left="167"/>
              <w:rPr>
                <w:sz w:val="18"/>
                <w:szCs w:val="18"/>
              </w:rPr>
            </w:pPr>
            <w:r w:rsidRPr="00263889">
              <w:rPr>
                <w:sz w:val="18"/>
                <w:szCs w:val="18"/>
              </w:rPr>
              <w:t>36.0</w:t>
            </w:r>
          </w:p>
        </w:tc>
      </w:tr>
      <w:tr w:rsidR="00263889" w14:paraId="6DDFCDFA" w14:textId="77777777" w:rsidTr="00263889">
        <w:trPr>
          <w:trHeight w:val="252"/>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1834463F"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28778BEC" w14:textId="77777777" w:rsidR="00263889" w:rsidRPr="00263889" w:rsidRDefault="00263889">
            <w:pPr>
              <w:pStyle w:val="TableParagraph"/>
              <w:spacing w:before="1"/>
              <w:rPr>
                <w:sz w:val="18"/>
                <w:szCs w:val="18"/>
              </w:rPr>
            </w:pPr>
            <w:r w:rsidRPr="00263889">
              <w:rPr>
                <w:sz w:val="18"/>
                <w:szCs w:val="18"/>
              </w:rPr>
              <w:t>3001-4000</w:t>
            </w:r>
          </w:p>
        </w:tc>
        <w:tc>
          <w:tcPr>
            <w:tcW w:w="1366" w:type="dxa"/>
            <w:tcBorders>
              <w:top w:val="single" w:sz="4" w:space="0" w:color="000000"/>
              <w:left w:val="single" w:sz="4" w:space="0" w:color="000000"/>
              <w:bottom w:val="single" w:sz="4" w:space="0" w:color="000000"/>
              <w:right w:val="single" w:sz="4" w:space="0" w:color="000000"/>
            </w:tcBorders>
            <w:hideMark/>
          </w:tcPr>
          <w:p w14:paraId="0D3F9695" w14:textId="77777777" w:rsidR="00263889" w:rsidRPr="00263889" w:rsidRDefault="00263889">
            <w:pPr>
              <w:pStyle w:val="TableParagraph"/>
              <w:spacing w:before="1"/>
              <w:rPr>
                <w:sz w:val="18"/>
                <w:szCs w:val="18"/>
              </w:rPr>
            </w:pPr>
            <w:r w:rsidRPr="00263889">
              <w:rPr>
                <w:sz w:val="18"/>
                <w:szCs w:val="18"/>
              </w:rPr>
              <w:t>33</w:t>
            </w:r>
          </w:p>
        </w:tc>
        <w:tc>
          <w:tcPr>
            <w:tcW w:w="1680" w:type="dxa"/>
            <w:tcBorders>
              <w:top w:val="single" w:sz="4" w:space="0" w:color="000000"/>
              <w:left w:val="single" w:sz="4" w:space="0" w:color="000000"/>
              <w:bottom w:val="single" w:sz="4" w:space="0" w:color="000000"/>
              <w:right w:val="single" w:sz="4" w:space="0" w:color="000000"/>
            </w:tcBorders>
            <w:hideMark/>
          </w:tcPr>
          <w:p w14:paraId="5B808E4C" w14:textId="77777777" w:rsidR="00263889" w:rsidRPr="00263889" w:rsidRDefault="00263889">
            <w:pPr>
              <w:pStyle w:val="TableParagraph"/>
              <w:spacing w:before="1"/>
              <w:ind w:left="167"/>
              <w:rPr>
                <w:sz w:val="18"/>
                <w:szCs w:val="18"/>
              </w:rPr>
            </w:pPr>
            <w:r w:rsidRPr="00263889">
              <w:rPr>
                <w:sz w:val="18"/>
                <w:szCs w:val="18"/>
              </w:rPr>
              <w:t>22.0</w:t>
            </w:r>
          </w:p>
        </w:tc>
      </w:tr>
      <w:tr w:rsidR="00263889" w14:paraId="3E286681"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3DEDDDE4"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69664739" w14:textId="77777777" w:rsidR="00263889" w:rsidRPr="00263889" w:rsidRDefault="00263889">
            <w:pPr>
              <w:pStyle w:val="TableParagraph"/>
              <w:rPr>
                <w:sz w:val="18"/>
                <w:szCs w:val="18"/>
              </w:rPr>
            </w:pPr>
            <w:r w:rsidRPr="00263889">
              <w:rPr>
                <w:sz w:val="18"/>
                <w:szCs w:val="18"/>
              </w:rPr>
              <w:t>Above 4001</w:t>
            </w:r>
          </w:p>
        </w:tc>
        <w:tc>
          <w:tcPr>
            <w:tcW w:w="1366" w:type="dxa"/>
            <w:tcBorders>
              <w:top w:val="single" w:sz="4" w:space="0" w:color="000000"/>
              <w:left w:val="single" w:sz="4" w:space="0" w:color="000000"/>
              <w:bottom w:val="single" w:sz="4" w:space="0" w:color="000000"/>
              <w:right w:val="single" w:sz="4" w:space="0" w:color="000000"/>
            </w:tcBorders>
            <w:hideMark/>
          </w:tcPr>
          <w:p w14:paraId="13C735EB" w14:textId="77777777" w:rsidR="00263889" w:rsidRPr="00263889" w:rsidRDefault="00263889">
            <w:pPr>
              <w:pStyle w:val="TableParagraph"/>
              <w:rPr>
                <w:sz w:val="18"/>
                <w:szCs w:val="18"/>
              </w:rPr>
            </w:pPr>
            <w:r w:rsidRPr="00263889">
              <w:rPr>
                <w:sz w:val="18"/>
                <w:szCs w:val="18"/>
              </w:rPr>
              <w:t>13</w:t>
            </w:r>
          </w:p>
        </w:tc>
        <w:tc>
          <w:tcPr>
            <w:tcW w:w="1680" w:type="dxa"/>
            <w:tcBorders>
              <w:top w:val="single" w:sz="4" w:space="0" w:color="000000"/>
              <w:left w:val="single" w:sz="4" w:space="0" w:color="000000"/>
              <w:bottom w:val="single" w:sz="4" w:space="0" w:color="000000"/>
              <w:right w:val="single" w:sz="4" w:space="0" w:color="000000"/>
            </w:tcBorders>
            <w:hideMark/>
          </w:tcPr>
          <w:p w14:paraId="5C6C3489" w14:textId="77777777" w:rsidR="00263889" w:rsidRPr="00263889" w:rsidRDefault="00263889">
            <w:pPr>
              <w:pStyle w:val="TableParagraph"/>
              <w:ind w:left="167"/>
              <w:rPr>
                <w:sz w:val="18"/>
                <w:szCs w:val="18"/>
              </w:rPr>
            </w:pPr>
            <w:r w:rsidRPr="00263889">
              <w:rPr>
                <w:sz w:val="18"/>
                <w:szCs w:val="18"/>
              </w:rPr>
              <w:t>8.7</w:t>
            </w:r>
          </w:p>
        </w:tc>
      </w:tr>
      <w:tr w:rsidR="00263889" w14:paraId="0F2A923A" w14:textId="77777777" w:rsidTr="00263889">
        <w:trPr>
          <w:trHeight w:val="251"/>
          <w:jc w:val="center"/>
        </w:trPr>
        <w:tc>
          <w:tcPr>
            <w:tcW w:w="1522" w:type="dxa"/>
            <w:vMerge w:val="restart"/>
            <w:tcBorders>
              <w:top w:val="nil"/>
              <w:left w:val="single" w:sz="4" w:space="0" w:color="000000"/>
              <w:bottom w:val="single" w:sz="4" w:space="0" w:color="000000"/>
              <w:right w:val="single" w:sz="4" w:space="0" w:color="000000"/>
            </w:tcBorders>
            <w:hideMark/>
          </w:tcPr>
          <w:p w14:paraId="2EF12A92" w14:textId="77777777" w:rsidR="00263889" w:rsidRPr="00263889" w:rsidRDefault="00263889">
            <w:pPr>
              <w:ind w:firstLine="0"/>
              <w:rPr>
                <w:sz w:val="18"/>
                <w:szCs w:val="18"/>
              </w:rPr>
            </w:pPr>
            <w:r w:rsidRPr="00263889">
              <w:rPr>
                <w:sz w:val="18"/>
                <w:szCs w:val="18"/>
              </w:rPr>
              <w:t>Type of Takaful products</w:t>
            </w:r>
          </w:p>
        </w:tc>
        <w:tc>
          <w:tcPr>
            <w:tcW w:w="1522" w:type="dxa"/>
            <w:tcBorders>
              <w:top w:val="single" w:sz="4" w:space="0" w:color="000000"/>
              <w:left w:val="single" w:sz="4" w:space="0" w:color="000000"/>
              <w:bottom w:val="single" w:sz="4" w:space="0" w:color="000000"/>
              <w:right w:val="single" w:sz="4" w:space="0" w:color="000000"/>
            </w:tcBorders>
            <w:hideMark/>
          </w:tcPr>
          <w:p w14:paraId="74FAF65B" w14:textId="77777777" w:rsidR="00263889" w:rsidRPr="00263889" w:rsidRDefault="00263889">
            <w:pPr>
              <w:pStyle w:val="TableParagraph"/>
              <w:rPr>
                <w:sz w:val="18"/>
                <w:szCs w:val="18"/>
              </w:rPr>
            </w:pPr>
            <w:r w:rsidRPr="00263889">
              <w:rPr>
                <w:sz w:val="18"/>
                <w:szCs w:val="18"/>
              </w:rPr>
              <w:t>Medical card</w:t>
            </w:r>
          </w:p>
        </w:tc>
        <w:tc>
          <w:tcPr>
            <w:tcW w:w="1366" w:type="dxa"/>
            <w:tcBorders>
              <w:top w:val="single" w:sz="4" w:space="0" w:color="000000"/>
              <w:left w:val="single" w:sz="4" w:space="0" w:color="000000"/>
              <w:bottom w:val="single" w:sz="4" w:space="0" w:color="000000"/>
              <w:right w:val="single" w:sz="4" w:space="0" w:color="000000"/>
            </w:tcBorders>
            <w:hideMark/>
          </w:tcPr>
          <w:p w14:paraId="5ACA00A9" w14:textId="77777777" w:rsidR="00263889" w:rsidRPr="00263889" w:rsidRDefault="00263889">
            <w:pPr>
              <w:pStyle w:val="TableParagraph"/>
              <w:rPr>
                <w:sz w:val="18"/>
                <w:szCs w:val="18"/>
              </w:rPr>
            </w:pPr>
            <w:r w:rsidRPr="00263889">
              <w:rPr>
                <w:sz w:val="18"/>
                <w:szCs w:val="18"/>
              </w:rPr>
              <w:t>105</w:t>
            </w:r>
          </w:p>
        </w:tc>
        <w:tc>
          <w:tcPr>
            <w:tcW w:w="1680" w:type="dxa"/>
            <w:tcBorders>
              <w:top w:val="single" w:sz="4" w:space="0" w:color="000000"/>
              <w:left w:val="single" w:sz="4" w:space="0" w:color="000000"/>
              <w:bottom w:val="single" w:sz="4" w:space="0" w:color="000000"/>
              <w:right w:val="single" w:sz="4" w:space="0" w:color="000000"/>
            </w:tcBorders>
            <w:hideMark/>
          </w:tcPr>
          <w:p w14:paraId="12883A20" w14:textId="77777777" w:rsidR="00263889" w:rsidRPr="00263889" w:rsidRDefault="00263889">
            <w:pPr>
              <w:pStyle w:val="TableParagraph"/>
              <w:ind w:left="167"/>
              <w:rPr>
                <w:sz w:val="18"/>
                <w:szCs w:val="18"/>
              </w:rPr>
            </w:pPr>
            <w:r w:rsidRPr="00263889">
              <w:rPr>
                <w:sz w:val="18"/>
                <w:szCs w:val="18"/>
              </w:rPr>
              <w:t>70.0</w:t>
            </w:r>
          </w:p>
        </w:tc>
      </w:tr>
      <w:tr w:rsidR="00263889" w14:paraId="21FD4DAC" w14:textId="77777777" w:rsidTr="00263889">
        <w:trPr>
          <w:trHeight w:val="251"/>
          <w:jc w:val="center"/>
        </w:trPr>
        <w:tc>
          <w:tcPr>
            <w:tcW w:w="1522" w:type="dxa"/>
            <w:vMerge/>
            <w:tcBorders>
              <w:top w:val="nil"/>
              <w:left w:val="single" w:sz="4" w:space="0" w:color="000000"/>
              <w:bottom w:val="single" w:sz="4" w:space="0" w:color="000000"/>
              <w:right w:val="single" w:sz="4" w:space="0" w:color="000000"/>
            </w:tcBorders>
            <w:vAlign w:val="center"/>
            <w:hideMark/>
          </w:tcPr>
          <w:p w14:paraId="6F38822D"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65E6E0A5" w14:textId="77777777" w:rsidR="00263889" w:rsidRPr="00263889" w:rsidRDefault="00263889">
            <w:pPr>
              <w:pStyle w:val="TableParagraph"/>
              <w:rPr>
                <w:sz w:val="18"/>
                <w:szCs w:val="18"/>
              </w:rPr>
            </w:pPr>
            <w:proofErr w:type="spellStart"/>
            <w:r w:rsidRPr="00263889">
              <w:rPr>
                <w:sz w:val="18"/>
                <w:szCs w:val="18"/>
              </w:rPr>
              <w:t>Hibah</w:t>
            </w:r>
            <w:proofErr w:type="spellEnd"/>
          </w:p>
        </w:tc>
        <w:tc>
          <w:tcPr>
            <w:tcW w:w="1366" w:type="dxa"/>
            <w:tcBorders>
              <w:top w:val="single" w:sz="4" w:space="0" w:color="000000"/>
              <w:left w:val="single" w:sz="4" w:space="0" w:color="000000"/>
              <w:bottom w:val="single" w:sz="4" w:space="0" w:color="000000"/>
              <w:right w:val="single" w:sz="4" w:space="0" w:color="000000"/>
            </w:tcBorders>
            <w:hideMark/>
          </w:tcPr>
          <w:p w14:paraId="65451426" w14:textId="77777777" w:rsidR="00263889" w:rsidRPr="00263889" w:rsidRDefault="00263889">
            <w:pPr>
              <w:pStyle w:val="TableParagraph"/>
              <w:rPr>
                <w:sz w:val="18"/>
                <w:szCs w:val="18"/>
              </w:rPr>
            </w:pPr>
            <w:r w:rsidRPr="00263889">
              <w:rPr>
                <w:sz w:val="18"/>
                <w:szCs w:val="18"/>
              </w:rPr>
              <w:t>11</w:t>
            </w:r>
          </w:p>
        </w:tc>
        <w:tc>
          <w:tcPr>
            <w:tcW w:w="1680" w:type="dxa"/>
            <w:tcBorders>
              <w:top w:val="single" w:sz="4" w:space="0" w:color="000000"/>
              <w:left w:val="single" w:sz="4" w:space="0" w:color="000000"/>
              <w:bottom w:val="single" w:sz="4" w:space="0" w:color="000000"/>
              <w:right w:val="single" w:sz="4" w:space="0" w:color="000000"/>
            </w:tcBorders>
            <w:hideMark/>
          </w:tcPr>
          <w:p w14:paraId="2622D976" w14:textId="77777777" w:rsidR="00263889" w:rsidRPr="00263889" w:rsidRDefault="00263889">
            <w:pPr>
              <w:pStyle w:val="TableParagraph"/>
              <w:ind w:left="167"/>
              <w:rPr>
                <w:sz w:val="18"/>
                <w:szCs w:val="18"/>
              </w:rPr>
            </w:pPr>
            <w:r w:rsidRPr="00263889">
              <w:rPr>
                <w:sz w:val="18"/>
                <w:szCs w:val="18"/>
              </w:rPr>
              <w:t>7.3</w:t>
            </w:r>
          </w:p>
        </w:tc>
      </w:tr>
      <w:tr w:rsidR="00263889" w14:paraId="0646B399" w14:textId="77777777" w:rsidTr="00263889">
        <w:trPr>
          <w:trHeight w:val="251"/>
          <w:jc w:val="center"/>
        </w:trPr>
        <w:tc>
          <w:tcPr>
            <w:tcW w:w="1522" w:type="dxa"/>
            <w:vMerge/>
            <w:tcBorders>
              <w:top w:val="nil"/>
              <w:left w:val="single" w:sz="4" w:space="0" w:color="000000"/>
              <w:bottom w:val="single" w:sz="4" w:space="0" w:color="000000"/>
              <w:right w:val="single" w:sz="4" w:space="0" w:color="000000"/>
            </w:tcBorders>
            <w:vAlign w:val="center"/>
            <w:hideMark/>
          </w:tcPr>
          <w:p w14:paraId="0D99961B"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58203C62" w14:textId="77777777" w:rsidR="00263889" w:rsidRPr="00263889" w:rsidRDefault="00263889">
            <w:pPr>
              <w:pStyle w:val="TableParagraph"/>
              <w:rPr>
                <w:sz w:val="18"/>
                <w:szCs w:val="18"/>
              </w:rPr>
            </w:pPr>
            <w:r w:rsidRPr="00263889">
              <w:rPr>
                <w:sz w:val="18"/>
                <w:szCs w:val="18"/>
              </w:rPr>
              <w:t>Education plan</w:t>
            </w:r>
          </w:p>
        </w:tc>
        <w:tc>
          <w:tcPr>
            <w:tcW w:w="1366" w:type="dxa"/>
            <w:tcBorders>
              <w:top w:val="single" w:sz="4" w:space="0" w:color="000000"/>
              <w:left w:val="single" w:sz="4" w:space="0" w:color="000000"/>
              <w:bottom w:val="single" w:sz="4" w:space="0" w:color="000000"/>
              <w:right w:val="single" w:sz="4" w:space="0" w:color="000000"/>
            </w:tcBorders>
            <w:hideMark/>
          </w:tcPr>
          <w:p w14:paraId="67B96CBE" w14:textId="77777777" w:rsidR="00263889" w:rsidRPr="00263889" w:rsidRDefault="00263889">
            <w:pPr>
              <w:pStyle w:val="TableParagraph"/>
              <w:rPr>
                <w:sz w:val="18"/>
                <w:szCs w:val="18"/>
              </w:rPr>
            </w:pPr>
            <w:r w:rsidRPr="00263889">
              <w:rPr>
                <w:sz w:val="18"/>
                <w:szCs w:val="18"/>
              </w:rPr>
              <w:t>15</w:t>
            </w:r>
          </w:p>
        </w:tc>
        <w:tc>
          <w:tcPr>
            <w:tcW w:w="1680" w:type="dxa"/>
            <w:tcBorders>
              <w:top w:val="single" w:sz="4" w:space="0" w:color="000000"/>
              <w:left w:val="single" w:sz="4" w:space="0" w:color="000000"/>
              <w:bottom w:val="single" w:sz="4" w:space="0" w:color="000000"/>
              <w:right w:val="single" w:sz="4" w:space="0" w:color="000000"/>
            </w:tcBorders>
            <w:hideMark/>
          </w:tcPr>
          <w:p w14:paraId="4F8D9980" w14:textId="77777777" w:rsidR="00263889" w:rsidRPr="00263889" w:rsidRDefault="00263889">
            <w:pPr>
              <w:pStyle w:val="TableParagraph"/>
              <w:ind w:left="167"/>
              <w:rPr>
                <w:sz w:val="18"/>
                <w:szCs w:val="18"/>
              </w:rPr>
            </w:pPr>
            <w:r w:rsidRPr="00263889">
              <w:rPr>
                <w:sz w:val="18"/>
                <w:szCs w:val="18"/>
              </w:rPr>
              <w:t>10.0</w:t>
            </w:r>
          </w:p>
        </w:tc>
      </w:tr>
      <w:tr w:rsidR="00263889" w14:paraId="0F1001A2" w14:textId="77777777" w:rsidTr="00263889">
        <w:trPr>
          <w:trHeight w:val="251"/>
          <w:jc w:val="center"/>
        </w:trPr>
        <w:tc>
          <w:tcPr>
            <w:tcW w:w="1522" w:type="dxa"/>
            <w:vMerge/>
            <w:tcBorders>
              <w:top w:val="nil"/>
              <w:left w:val="single" w:sz="4" w:space="0" w:color="000000"/>
              <w:bottom w:val="single" w:sz="4" w:space="0" w:color="000000"/>
              <w:right w:val="single" w:sz="4" w:space="0" w:color="000000"/>
            </w:tcBorders>
            <w:vAlign w:val="center"/>
            <w:hideMark/>
          </w:tcPr>
          <w:p w14:paraId="61649DDE"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6C092AB5" w14:textId="77777777" w:rsidR="00263889" w:rsidRPr="00263889" w:rsidRDefault="00263889">
            <w:pPr>
              <w:pStyle w:val="TableParagraph"/>
              <w:rPr>
                <w:sz w:val="18"/>
                <w:szCs w:val="18"/>
              </w:rPr>
            </w:pPr>
            <w:r w:rsidRPr="00263889">
              <w:rPr>
                <w:sz w:val="18"/>
                <w:szCs w:val="18"/>
              </w:rPr>
              <w:t>Travel</w:t>
            </w:r>
          </w:p>
        </w:tc>
        <w:tc>
          <w:tcPr>
            <w:tcW w:w="1366" w:type="dxa"/>
            <w:tcBorders>
              <w:top w:val="single" w:sz="4" w:space="0" w:color="000000"/>
              <w:left w:val="single" w:sz="4" w:space="0" w:color="000000"/>
              <w:bottom w:val="single" w:sz="4" w:space="0" w:color="000000"/>
              <w:right w:val="single" w:sz="4" w:space="0" w:color="000000"/>
            </w:tcBorders>
            <w:hideMark/>
          </w:tcPr>
          <w:p w14:paraId="36B85286" w14:textId="77777777" w:rsidR="00263889" w:rsidRPr="00263889" w:rsidRDefault="00263889">
            <w:pPr>
              <w:pStyle w:val="TableParagraph"/>
              <w:rPr>
                <w:sz w:val="18"/>
                <w:szCs w:val="18"/>
              </w:rPr>
            </w:pPr>
            <w:r w:rsidRPr="00263889">
              <w:rPr>
                <w:sz w:val="18"/>
                <w:szCs w:val="18"/>
              </w:rPr>
              <w:t>5</w:t>
            </w:r>
          </w:p>
        </w:tc>
        <w:tc>
          <w:tcPr>
            <w:tcW w:w="1680" w:type="dxa"/>
            <w:tcBorders>
              <w:top w:val="single" w:sz="4" w:space="0" w:color="000000"/>
              <w:left w:val="single" w:sz="4" w:space="0" w:color="000000"/>
              <w:bottom w:val="single" w:sz="4" w:space="0" w:color="000000"/>
              <w:right w:val="single" w:sz="4" w:space="0" w:color="000000"/>
            </w:tcBorders>
            <w:hideMark/>
          </w:tcPr>
          <w:p w14:paraId="5842A064" w14:textId="77777777" w:rsidR="00263889" w:rsidRPr="00263889" w:rsidRDefault="00263889">
            <w:pPr>
              <w:pStyle w:val="TableParagraph"/>
              <w:ind w:left="167"/>
              <w:rPr>
                <w:sz w:val="18"/>
                <w:szCs w:val="18"/>
              </w:rPr>
            </w:pPr>
            <w:r w:rsidRPr="00263889">
              <w:rPr>
                <w:sz w:val="18"/>
                <w:szCs w:val="18"/>
              </w:rPr>
              <w:t>3.3</w:t>
            </w:r>
          </w:p>
        </w:tc>
      </w:tr>
      <w:tr w:rsidR="00263889" w14:paraId="65CF3F6E" w14:textId="77777777" w:rsidTr="00263889">
        <w:trPr>
          <w:trHeight w:val="251"/>
          <w:jc w:val="center"/>
        </w:trPr>
        <w:tc>
          <w:tcPr>
            <w:tcW w:w="1522" w:type="dxa"/>
            <w:vMerge/>
            <w:tcBorders>
              <w:top w:val="nil"/>
              <w:left w:val="single" w:sz="4" w:space="0" w:color="000000"/>
              <w:bottom w:val="single" w:sz="4" w:space="0" w:color="000000"/>
              <w:right w:val="single" w:sz="4" w:space="0" w:color="000000"/>
            </w:tcBorders>
            <w:vAlign w:val="center"/>
            <w:hideMark/>
          </w:tcPr>
          <w:p w14:paraId="741B6D81"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5B44DCE8" w14:textId="77777777" w:rsidR="00263889" w:rsidRPr="00263889" w:rsidRDefault="00263889">
            <w:pPr>
              <w:pStyle w:val="TableParagraph"/>
              <w:rPr>
                <w:sz w:val="18"/>
                <w:szCs w:val="18"/>
              </w:rPr>
            </w:pPr>
            <w:r w:rsidRPr="00263889">
              <w:rPr>
                <w:sz w:val="18"/>
                <w:szCs w:val="18"/>
              </w:rPr>
              <w:t>Fire</w:t>
            </w:r>
          </w:p>
        </w:tc>
        <w:tc>
          <w:tcPr>
            <w:tcW w:w="1366" w:type="dxa"/>
            <w:tcBorders>
              <w:top w:val="single" w:sz="4" w:space="0" w:color="000000"/>
              <w:left w:val="single" w:sz="4" w:space="0" w:color="000000"/>
              <w:bottom w:val="single" w:sz="4" w:space="0" w:color="000000"/>
              <w:right w:val="single" w:sz="4" w:space="0" w:color="000000"/>
            </w:tcBorders>
            <w:hideMark/>
          </w:tcPr>
          <w:p w14:paraId="7BDB919C" w14:textId="77777777" w:rsidR="00263889" w:rsidRPr="00263889" w:rsidRDefault="00263889">
            <w:pPr>
              <w:pStyle w:val="TableParagraph"/>
              <w:rPr>
                <w:sz w:val="18"/>
                <w:szCs w:val="18"/>
              </w:rPr>
            </w:pPr>
            <w:r w:rsidRPr="00263889">
              <w:rPr>
                <w:sz w:val="18"/>
                <w:szCs w:val="18"/>
              </w:rPr>
              <w:t>5</w:t>
            </w:r>
          </w:p>
        </w:tc>
        <w:tc>
          <w:tcPr>
            <w:tcW w:w="1680" w:type="dxa"/>
            <w:tcBorders>
              <w:top w:val="single" w:sz="4" w:space="0" w:color="000000"/>
              <w:left w:val="single" w:sz="4" w:space="0" w:color="000000"/>
              <w:bottom w:val="single" w:sz="4" w:space="0" w:color="000000"/>
              <w:right w:val="single" w:sz="4" w:space="0" w:color="000000"/>
            </w:tcBorders>
            <w:hideMark/>
          </w:tcPr>
          <w:p w14:paraId="316E0C01" w14:textId="77777777" w:rsidR="00263889" w:rsidRPr="00263889" w:rsidRDefault="00263889">
            <w:pPr>
              <w:pStyle w:val="TableParagraph"/>
              <w:ind w:left="167"/>
              <w:rPr>
                <w:sz w:val="18"/>
                <w:szCs w:val="18"/>
              </w:rPr>
            </w:pPr>
            <w:r w:rsidRPr="00263889">
              <w:rPr>
                <w:sz w:val="18"/>
                <w:szCs w:val="18"/>
              </w:rPr>
              <w:t>3.3</w:t>
            </w:r>
          </w:p>
        </w:tc>
      </w:tr>
      <w:tr w:rsidR="00263889" w14:paraId="2BFE2513" w14:textId="77777777" w:rsidTr="00263889">
        <w:trPr>
          <w:trHeight w:val="251"/>
          <w:jc w:val="center"/>
        </w:trPr>
        <w:tc>
          <w:tcPr>
            <w:tcW w:w="1522" w:type="dxa"/>
            <w:vMerge/>
            <w:tcBorders>
              <w:top w:val="nil"/>
              <w:left w:val="single" w:sz="4" w:space="0" w:color="000000"/>
              <w:bottom w:val="single" w:sz="4" w:space="0" w:color="000000"/>
              <w:right w:val="single" w:sz="4" w:space="0" w:color="000000"/>
            </w:tcBorders>
            <w:vAlign w:val="center"/>
            <w:hideMark/>
          </w:tcPr>
          <w:p w14:paraId="5AC13A39"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41E37FB0" w14:textId="77777777" w:rsidR="00263889" w:rsidRPr="00263889" w:rsidRDefault="00263889">
            <w:pPr>
              <w:pStyle w:val="TableParagraph"/>
              <w:rPr>
                <w:sz w:val="18"/>
                <w:szCs w:val="18"/>
              </w:rPr>
            </w:pPr>
            <w:r w:rsidRPr="00263889">
              <w:rPr>
                <w:sz w:val="18"/>
                <w:szCs w:val="18"/>
              </w:rPr>
              <w:t>Others</w:t>
            </w:r>
          </w:p>
        </w:tc>
        <w:tc>
          <w:tcPr>
            <w:tcW w:w="1366" w:type="dxa"/>
            <w:tcBorders>
              <w:top w:val="single" w:sz="4" w:space="0" w:color="000000"/>
              <w:left w:val="single" w:sz="4" w:space="0" w:color="000000"/>
              <w:bottom w:val="single" w:sz="4" w:space="0" w:color="000000"/>
              <w:right w:val="single" w:sz="4" w:space="0" w:color="000000"/>
            </w:tcBorders>
            <w:hideMark/>
          </w:tcPr>
          <w:p w14:paraId="4FA65AC1" w14:textId="77777777" w:rsidR="00263889" w:rsidRPr="00263889" w:rsidRDefault="00263889">
            <w:pPr>
              <w:pStyle w:val="TableParagraph"/>
              <w:rPr>
                <w:sz w:val="18"/>
                <w:szCs w:val="18"/>
              </w:rPr>
            </w:pPr>
            <w:r w:rsidRPr="00263889">
              <w:rPr>
                <w:sz w:val="18"/>
                <w:szCs w:val="18"/>
              </w:rPr>
              <w:t>9</w:t>
            </w:r>
          </w:p>
        </w:tc>
        <w:tc>
          <w:tcPr>
            <w:tcW w:w="1680" w:type="dxa"/>
            <w:tcBorders>
              <w:top w:val="single" w:sz="4" w:space="0" w:color="000000"/>
              <w:left w:val="single" w:sz="4" w:space="0" w:color="000000"/>
              <w:bottom w:val="single" w:sz="4" w:space="0" w:color="000000"/>
              <w:right w:val="single" w:sz="4" w:space="0" w:color="000000"/>
            </w:tcBorders>
            <w:hideMark/>
          </w:tcPr>
          <w:p w14:paraId="3BF47375" w14:textId="77777777" w:rsidR="00263889" w:rsidRPr="00263889" w:rsidRDefault="00263889">
            <w:pPr>
              <w:pStyle w:val="TableParagraph"/>
              <w:ind w:left="167"/>
              <w:rPr>
                <w:sz w:val="18"/>
                <w:szCs w:val="18"/>
              </w:rPr>
            </w:pPr>
            <w:r w:rsidRPr="00263889">
              <w:rPr>
                <w:sz w:val="18"/>
                <w:szCs w:val="18"/>
              </w:rPr>
              <w:t>6.0</w:t>
            </w:r>
          </w:p>
        </w:tc>
      </w:tr>
      <w:tr w:rsidR="00263889" w14:paraId="110FF5CF" w14:textId="77777777" w:rsidTr="00263889">
        <w:trPr>
          <w:trHeight w:val="251"/>
          <w:jc w:val="center"/>
        </w:trPr>
        <w:tc>
          <w:tcPr>
            <w:tcW w:w="1522" w:type="dxa"/>
            <w:vMerge w:val="restart"/>
            <w:tcBorders>
              <w:top w:val="single" w:sz="4" w:space="0" w:color="000000"/>
              <w:left w:val="single" w:sz="4" w:space="0" w:color="000000"/>
              <w:bottom w:val="single" w:sz="4" w:space="0" w:color="000000"/>
              <w:right w:val="single" w:sz="4" w:space="0" w:color="000000"/>
            </w:tcBorders>
            <w:hideMark/>
          </w:tcPr>
          <w:p w14:paraId="4FE10E03" w14:textId="77777777" w:rsidR="00263889" w:rsidRPr="00263889" w:rsidRDefault="00263889">
            <w:pPr>
              <w:ind w:firstLine="0"/>
              <w:rPr>
                <w:sz w:val="18"/>
                <w:szCs w:val="18"/>
              </w:rPr>
            </w:pPr>
            <w:r w:rsidRPr="00263889">
              <w:rPr>
                <w:sz w:val="18"/>
                <w:szCs w:val="18"/>
              </w:rPr>
              <w:t>Reason of purchasing</w:t>
            </w:r>
          </w:p>
        </w:tc>
        <w:tc>
          <w:tcPr>
            <w:tcW w:w="1522" w:type="dxa"/>
            <w:tcBorders>
              <w:top w:val="single" w:sz="4" w:space="0" w:color="000000"/>
              <w:left w:val="single" w:sz="4" w:space="0" w:color="000000"/>
              <w:bottom w:val="single" w:sz="4" w:space="0" w:color="000000"/>
              <w:right w:val="single" w:sz="4" w:space="0" w:color="000000"/>
            </w:tcBorders>
            <w:hideMark/>
          </w:tcPr>
          <w:p w14:paraId="07E36734" w14:textId="77777777" w:rsidR="00263889" w:rsidRPr="00263889" w:rsidRDefault="00263889">
            <w:pPr>
              <w:pStyle w:val="TableParagraph"/>
              <w:rPr>
                <w:sz w:val="18"/>
                <w:szCs w:val="18"/>
              </w:rPr>
            </w:pPr>
            <w:r w:rsidRPr="00263889">
              <w:rPr>
                <w:sz w:val="18"/>
                <w:szCs w:val="18"/>
              </w:rPr>
              <w:t>High cost of living</w:t>
            </w:r>
          </w:p>
        </w:tc>
        <w:tc>
          <w:tcPr>
            <w:tcW w:w="1366" w:type="dxa"/>
            <w:tcBorders>
              <w:top w:val="single" w:sz="4" w:space="0" w:color="000000"/>
              <w:left w:val="single" w:sz="4" w:space="0" w:color="000000"/>
              <w:bottom w:val="single" w:sz="4" w:space="0" w:color="000000"/>
              <w:right w:val="single" w:sz="4" w:space="0" w:color="000000"/>
            </w:tcBorders>
            <w:hideMark/>
          </w:tcPr>
          <w:p w14:paraId="39FAEEC3" w14:textId="77777777" w:rsidR="00263889" w:rsidRPr="00263889" w:rsidRDefault="00263889">
            <w:pPr>
              <w:pStyle w:val="TableParagraph"/>
              <w:rPr>
                <w:sz w:val="18"/>
                <w:szCs w:val="18"/>
              </w:rPr>
            </w:pPr>
            <w:r w:rsidRPr="00263889">
              <w:rPr>
                <w:sz w:val="18"/>
                <w:szCs w:val="18"/>
              </w:rPr>
              <w:t>20</w:t>
            </w:r>
          </w:p>
        </w:tc>
        <w:tc>
          <w:tcPr>
            <w:tcW w:w="1680" w:type="dxa"/>
            <w:tcBorders>
              <w:top w:val="single" w:sz="4" w:space="0" w:color="000000"/>
              <w:left w:val="single" w:sz="4" w:space="0" w:color="000000"/>
              <w:bottom w:val="single" w:sz="4" w:space="0" w:color="000000"/>
              <w:right w:val="single" w:sz="4" w:space="0" w:color="000000"/>
            </w:tcBorders>
            <w:hideMark/>
          </w:tcPr>
          <w:p w14:paraId="6AA68382" w14:textId="77777777" w:rsidR="00263889" w:rsidRPr="00263889" w:rsidRDefault="00263889">
            <w:pPr>
              <w:pStyle w:val="TableParagraph"/>
              <w:ind w:left="167"/>
              <w:rPr>
                <w:sz w:val="18"/>
                <w:szCs w:val="18"/>
              </w:rPr>
            </w:pPr>
            <w:r w:rsidRPr="00263889">
              <w:rPr>
                <w:sz w:val="18"/>
                <w:szCs w:val="18"/>
              </w:rPr>
              <w:t>13.3</w:t>
            </w:r>
          </w:p>
        </w:tc>
      </w:tr>
      <w:tr w:rsidR="00263889" w14:paraId="62F7B652"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2C55C909"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720E3901" w14:textId="77777777" w:rsidR="00263889" w:rsidRPr="00263889" w:rsidRDefault="00263889">
            <w:pPr>
              <w:pStyle w:val="TableParagraph"/>
              <w:rPr>
                <w:sz w:val="18"/>
                <w:szCs w:val="18"/>
              </w:rPr>
            </w:pPr>
            <w:r w:rsidRPr="00263889">
              <w:rPr>
                <w:sz w:val="18"/>
                <w:szCs w:val="18"/>
              </w:rPr>
              <w:t>Expensive education fees</w:t>
            </w:r>
          </w:p>
        </w:tc>
        <w:tc>
          <w:tcPr>
            <w:tcW w:w="1366" w:type="dxa"/>
            <w:tcBorders>
              <w:top w:val="single" w:sz="4" w:space="0" w:color="000000"/>
              <w:left w:val="single" w:sz="4" w:space="0" w:color="000000"/>
              <w:bottom w:val="single" w:sz="4" w:space="0" w:color="000000"/>
              <w:right w:val="single" w:sz="4" w:space="0" w:color="000000"/>
            </w:tcBorders>
            <w:hideMark/>
          </w:tcPr>
          <w:p w14:paraId="26ADDA4B" w14:textId="77777777" w:rsidR="00263889" w:rsidRPr="00263889" w:rsidRDefault="00263889">
            <w:pPr>
              <w:pStyle w:val="TableParagraph"/>
              <w:rPr>
                <w:sz w:val="18"/>
                <w:szCs w:val="18"/>
              </w:rPr>
            </w:pPr>
            <w:r w:rsidRPr="00263889">
              <w:rPr>
                <w:sz w:val="18"/>
                <w:szCs w:val="18"/>
              </w:rPr>
              <w:t>10</w:t>
            </w:r>
          </w:p>
        </w:tc>
        <w:tc>
          <w:tcPr>
            <w:tcW w:w="1680" w:type="dxa"/>
            <w:tcBorders>
              <w:top w:val="single" w:sz="4" w:space="0" w:color="000000"/>
              <w:left w:val="single" w:sz="4" w:space="0" w:color="000000"/>
              <w:bottom w:val="single" w:sz="4" w:space="0" w:color="000000"/>
              <w:right w:val="single" w:sz="4" w:space="0" w:color="000000"/>
            </w:tcBorders>
            <w:hideMark/>
          </w:tcPr>
          <w:p w14:paraId="769C3DB1" w14:textId="77777777" w:rsidR="00263889" w:rsidRPr="00263889" w:rsidRDefault="00263889">
            <w:pPr>
              <w:pStyle w:val="TableParagraph"/>
              <w:ind w:left="167"/>
              <w:rPr>
                <w:sz w:val="18"/>
                <w:szCs w:val="18"/>
              </w:rPr>
            </w:pPr>
            <w:r w:rsidRPr="00263889">
              <w:rPr>
                <w:sz w:val="18"/>
                <w:szCs w:val="18"/>
              </w:rPr>
              <w:t>6.7</w:t>
            </w:r>
          </w:p>
        </w:tc>
      </w:tr>
      <w:tr w:rsidR="00263889" w14:paraId="35D5A2A8"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541A4DEA"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102BF9F4" w14:textId="77777777" w:rsidR="00263889" w:rsidRPr="00263889" w:rsidRDefault="00263889">
            <w:pPr>
              <w:pStyle w:val="TableParagraph"/>
              <w:rPr>
                <w:sz w:val="18"/>
                <w:szCs w:val="18"/>
              </w:rPr>
            </w:pPr>
            <w:r w:rsidRPr="00263889">
              <w:rPr>
                <w:sz w:val="18"/>
                <w:szCs w:val="18"/>
              </w:rPr>
              <w:t>Early preparation</w:t>
            </w:r>
          </w:p>
        </w:tc>
        <w:tc>
          <w:tcPr>
            <w:tcW w:w="1366" w:type="dxa"/>
            <w:tcBorders>
              <w:top w:val="single" w:sz="4" w:space="0" w:color="000000"/>
              <w:left w:val="single" w:sz="4" w:space="0" w:color="000000"/>
              <w:bottom w:val="single" w:sz="4" w:space="0" w:color="000000"/>
              <w:right w:val="single" w:sz="4" w:space="0" w:color="000000"/>
            </w:tcBorders>
            <w:hideMark/>
          </w:tcPr>
          <w:p w14:paraId="0220C75B" w14:textId="77777777" w:rsidR="00263889" w:rsidRPr="00263889" w:rsidRDefault="00263889">
            <w:pPr>
              <w:pStyle w:val="TableParagraph"/>
              <w:rPr>
                <w:sz w:val="18"/>
                <w:szCs w:val="18"/>
              </w:rPr>
            </w:pPr>
            <w:r w:rsidRPr="00263889">
              <w:rPr>
                <w:sz w:val="18"/>
                <w:szCs w:val="18"/>
              </w:rPr>
              <w:t>108</w:t>
            </w:r>
          </w:p>
        </w:tc>
        <w:tc>
          <w:tcPr>
            <w:tcW w:w="1680" w:type="dxa"/>
            <w:tcBorders>
              <w:top w:val="single" w:sz="4" w:space="0" w:color="000000"/>
              <w:left w:val="single" w:sz="4" w:space="0" w:color="000000"/>
              <w:bottom w:val="single" w:sz="4" w:space="0" w:color="000000"/>
              <w:right w:val="single" w:sz="4" w:space="0" w:color="000000"/>
            </w:tcBorders>
            <w:hideMark/>
          </w:tcPr>
          <w:p w14:paraId="3E8CAD00" w14:textId="77777777" w:rsidR="00263889" w:rsidRPr="00263889" w:rsidRDefault="00263889">
            <w:pPr>
              <w:pStyle w:val="TableParagraph"/>
              <w:ind w:left="167"/>
              <w:rPr>
                <w:sz w:val="18"/>
                <w:szCs w:val="18"/>
              </w:rPr>
            </w:pPr>
            <w:r w:rsidRPr="00263889">
              <w:rPr>
                <w:sz w:val="18"/>
                <w:szCs w:val="18"/>
              </w:rPr>
              <w:t>72.0</w:t>
            </w:r>
          </w:p>
        </w:tc>
      </w:tr>
      <w:tr w:rsidR="00263889" w14:paraId="25471C69"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5FCDE6B7"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7918D298" w14:textId="77777777" w:rsidR="00263889" w:rsidRPr="00263889" w:rsidRDefault="00263889">
            <w:pPr>
              <w:pStyle w:val="TableParagraph"/>
              <w:rPr>
                <w:sz w:val="18"/>
                <w:szCs w:val="18"/>
              </w:rPr>
            </w:pPr>
            <w:r w:rsidRPr="00263889">
              <w:rPr>
                <w:sz w:val="18"/>
                <w:szCs w:val="18"/>
              </w:rPr>
              <w:t>Attractive product</w:t>
            </w:r>
          </w:p>
        </w:tc>
        <w:tc>
          <w:tcPr>
            <w:tcW w:w="1366" w:type="dxa"/>
            <w:tcBorders>
              <w:top w:val="single" w:sz="4" w:space="0" w:color="000000"/>
              <w:left w:val="single" w:sz="4" w:space="0" w:color="000000"/>
              <w:bottom w:val="single" w:sz="4" w:space="0" w:color="000000"/>
              <w:right w:val="single" w:sz="4" w:space="0" w:color="000000"/>
            </w:tcBorders>
            <w:hideMark/>
          </w:tcPr>
          <w:p w14:paraId="4854026F" w14:textId="77777777" w:rsidR="00263889" w:rsidRPr="00263889" w:rsidRDefault="00263889">
            <w:pPr>
              <w:pStyle w:val="TableParagraph"/>
              <w:rPr>
                <w:sz w:val="18"/>
                <w:szCs w:val="18"/>
              </w:rPr>
            </w:pPr>
            <w:r w:rsidRPr="00263889">
              <w:rPr>
                <w:sz w:val="18"/>
                <w:szCs w:val="18"/>
              </w:rPr>
              <w:t>10</w:t>
            </w:r>
          </w:p>
        </w:tc>
        <w:tc>
          <w:tcPr>
            <w:tcW w:w="1680" w:type="dxa"/>
            <w:tcBorders>
              <w:top w:val="single" w:sz="4" w:space="0" w:color="000000"/>
              <w:left w:val="single" w:sz="4" w:space="0" w:color="000000"/>
              <w:bottom w:val="single" w:sz="4" w:space="0" w:color="000000"/>
              <w:right w:val="single" w:sz="4" w:space="0" w:color="000000"/>
            </w:tcBorders>
            <w:hideMark/>
          </w:tcPr>
          <w:p w14:paraId="59EE47D8" w14:textId="77777777" w:rsidR="00263889" w:rsidRPr="00263889" w:rsidRDefault="00263889">
            <w:pPr>
              <w:pStyle w:val="TableParagraph"/>
              <w:ind w:left="167"/>
              <w:rPr>
                <w:sz w:val="18"/>
                <w:szCs w:val="18"/>
              </w:rPr>
            </w:pPr>
            <w:r w:rsidRPr="00263889">
              <w:rPr>
                <w:sz w:val="18"/>
                <w:szCs w:val="18"/>
              </w:rPr>
              <w:t>6.7</w:t>
            </w:r>
          </w:p>
        </w:tc>
      </w:tr>
      <w:tr w:rsidR="00263889" w14:paraId="130B96CD" w14:textId="77777777" w:rsidTr="00263889">
        <w:trPr>
          <w:trHeight w:val="251"/>
          <w:jc w:val="center"/>
        </w:trPr>
        <w:tc>
          <w:tcPr>
            <w:tcW w:w="1522" w:type="dxa"/>
            <w:vMerge/>
            <w:tcBorders>
              <w:top w:val="single" w:sz="4" w:space="0" w:color="000000"/>
              <w:left w:val="single" w:sz="4" w:space="0" w:color="000000"/>
              <w:bottom w:val="single" w:sz="4" w:space="0" w:color="000000"/>
              <w:right w:val="single" w:sz="4" w:space="0" w:color="000000"/>
            </w:tcBorders>
            <w:vAlign w:val="center"/>
            <w:hideMark/>
          </w:tcPr>
          <w:p w14:paraId="3419B40C" w14:textId="77777777" w:rsidR="00263889" w:rsidRPr="00263889" w:rsidRDefault="00263889">
            <w:pPr>
              <w:overflowPunct/>
              <w:autoSpaceDE/>
              <w:autoSpaceDN/>
              <w:adjustRightInd/>
              <w:ind w:firstLine="0"/>
              <w:jc w:val="left"/>
              <w:rPr>
                <w:sz w:val="18"/>
                <w:szCs w:val="18"/>
              </w:rPr>
            </w:pPr>
          </w:p>
        </w:tc>
        <w:tc>
          <w:tcPr>
            <w:tcW w:w="1522" w:type="dxa"/>
            <w:tcBorders>
              <w:top w:val="single" w:sz="4" w:space="0" w:color="000000"/>
              <w:left w:val="single" w:sz="4" w:space="0" w:color="000000"/>
              <w:bottom w:val="single" w:sz="4" w:space="0" w:color="000000"/>
              <w:right w:val="single" w:sz="4" w:space="0" w:color="000000"/>
            </w:tcBorders>
            <w:hideMark/>
          </w:tcPr>
          <w:p w14:paraId="591D0A46" w14:textId="77777777" w:rsidR="00263889" w:rsidRPr="00263889" w:rsidRDefault="00263889">
            <w:pPr>
              <w:pStyle w:val="TableParagraph"/>
              <w:rPr>
                <w:sz w:val="18"/>
                <w:szCs w:val="18"/>
              </w:rPr>
            </w:pPr>
            <w:r w:rsidRPr="00263889">
              <w:rPr>
                <w:sz w:val="18"/>
                <w:szCs w:val="18"/>
              </w:rPr>
              <w:t>Others</w:t>
            </w:r>
          </w:p>
        </w:tc>
        <w:tc>
          <w:tcPr>
            <w:tcW w:w="1366" w:type="dxa"/>
            <w:tcBorders>
              <w:top w:val="single" w:sz="4" w:space="0" w:color="000000"/>
              <w:left w:val="single" w:sz="4" w:space="0" w:color="000000"/>
              <w:bottom w:val="single" w:sz="4" w:space="0" w:color="000000"/>
              <w:right w:val="single" w:sz="4" w:space="0" w:color="000000"/>
            </w:tcBorders>
            <w:hideMark/>
          </w:tcPr>
          <w:p w14:paraId="4A1FF812" w14:textId="77777777" w:rsidR="00263889" w:rsidRPr="00263889" w:rsidRDefault="00263889">
            <w:pPr>
              <w:pStyle w:val="TableParagraph"/>
              <w:rPr>
                <w:sz w:val="18"/>
                <w:szCs w:val="18"/>
              </w:rPr>
            </w:pPr>
            <w:r w:rsidRPr="00263889">
              <w:rPr>
                <w:sz w:val="18"/>
                <w:szCs w:val="18"/>
              </w:rPr>
              <w:t>2</w:t>
            </w:r>
          </w:p>
        </w:tc>
        <w:tc>
          <w:tcPr>
            <w:tcW w:w="1680" w:type="dxa"/>
            <w:tcBorders>
              <w:top w:val="single" w:sz="4" w:space="0" w:color="000000"/>
              <w:left w:val="single" w:sz="4" w:space="0" w:color="000000"/>
              <w:bottom w:val="single" w:sz="4" w:space="0" w:color="000000"/>
              <w:right w:val="single" w:sz="4" w:space="0" w:color="000000"/>
            </w:tcBorders>
            <w:hideMark/>
          </w:tcPr>
          <w:p w14:paraId="477C9FCF" w14:textId="77777777" w:rsidR="00263889" w:rsidRPr="00263889" w:rsidRDefault="00263889">
            <w:pPr>
              <w:pStyle w:val="TableParagraph"/>
              <w:ind w:left="167"/>
              <w:rPr>
                <w:sz w:val="18"/>
                <w:szCs w:val="18"/>
              </w:rPr>
            </w:pPr>
            <w:r w:rsidRPr="00263889">
              <w:rPr>
                <w:sz w:val="18"/>
                <w:szCs w:val="18"/>
              </w:rPr>
              <w:t>1.3</w:t>
            </w:r>
          </w:p>
        </w:tc>
      </w:tr>
    </w:tbl>
    <w:p w14:paraId="6F1D84D6" w14:textId="2A592A26" w:rsidR="00263889" w:rsidRDefault="00263889" w:rsidP="00263889">
      <w:pPr>
        <w:ind w:firstLine="0"/>
      </w:pPr>
    </w:p>
    <w:p w14:paraId="61B60EDB" w14:textId="3B7B2512" w:rsidR="00320A0A" w:rsidRPr="00320A0A" w:rsidRDefault="00510785" w:rsidP="00320A0A">
      <w:pPr>
        <w:pStyle w:val="heading2"/>
      </w:pPr>
      <w:r>
        <w:lastRenderedPageBreak/>
        <w:t>Descriptive Analysi</w:t>
      </w:r>
      <w:r w:rsidR="00320A0A">
        <w:t>s</w:t>
      </w:r>
    </w:p>
    <w:p w14:paraId="3E613ECB" w14:textId="0B83E9CF" w:rsidR="00DC3632" w:rsidRDefault="00DC3632" w:rsidP="00405CF6">
      <w:pPr>
        <w:ind w:firstLine="0"/>
      </w:pPr>
      <w:r>
        <w:t xml:space="preserve">Mean and standard deviation are used in this analysis to interpret a variable in a phenomenon. Mean is an average value used to represent a set of values which is observed </w:t>
      </w:r>
      <w:r>
        <w:fldChar w:fldCharType="begin" w:fldLock="1"/>
      </w:r>
      <w:r w:rsidR="002057B3">
        <w:instrText>ADDIN CSL_CITATION {"citationItems":[{"id":"ITEM-1","itemData":{"ISBN":"9789675771415","abstract":"This book is a practical guide for those who are directly involved in research. It covers all aspects of research methodology and is a useful teaching and learning tool for courses related to research at both undergraduate and postgraduate levels. This book can also be used as a reference by researchers when they are conducting and reporting their research. Not only does Mastering Research Methods introduce readers to methods of conducting\\r\\nresearch, it helps them to easily understand the entire research process. In addition, explanations about the concept of research, especially the design, measurement and sampling procedures, and format of research reports are simplified to help readers of all levels better understand what they are reading. Concepts are explained in detail with examples to enable readers to carry out confidently each stage of the research process. Exercises are provided at the end of each chapter to help readers reinforce their\\r\\nunderstanding of the topics covered in the chapter.","author":[{"dropping-particle":"","family":"Piaw","given":"Chua Yan","non-dropping-particle":"","parse-names":false,"suffix":""}],"container-title":"Journal","id":"ITEM-1","issue":"2012","issued":{"date-parts":[["2012"]]},"number-of-pages":"300","title":"Mastering research methods","type":"book","volume":"2"},"uris":["http://www.mendeley.com/documents/?uuid=4ce778fc-c034-4f1d-bf86-cfdebe87d6ff"]}],"mendeley":{"formattedCitation":"(Piaw, 2012)","plainTextFormattedCitation":"(Piaw, 2012)","previouslyFormattedCitation":"(Piaw, 2012)"},"properties":{"noteIndex":0},"schema":"https://github.com/citation-style-language/schema/raw/master/csl-citation.json"}</w:instrText>
      </w:r>
      <w:r>
        <w:fldChar w:fldCharType="separate"/>
      </w:r>
      <w:r w:rsidRPr="00DC3632">
        <w:rPr>
          <w:noProof/>
        </w:rPr>
        <w:t>(Piaw, 2012)</w:t>
      </w:r>
      <w:r>
        <w:fldChar w:fldCharType="end"/>
      </w:r>
      <w:r>
        <w:t>. Based on the mean score obtained in Table 5, it can be concluded that the adoption of technology and product offered were at the strong level (20.18 and 20.23) and consultancy at a moderate level (19.76) among the respondents. Meanwhile, standard deviation is the main indicator to explain the dispersion of scores in a distribution</w:t>
      </w:r>
      <w:r w:rsidR="002057B3">
        <w:t xml:space="preserve"> </w:t>
      </w:r>
      <w:r w:rsidR="002057B3">
        <w:fldChar w:fldCharType="begin" w:fldLock="1"/>
      </w:r>
      <w:r w:rsidR="002057B3">
        <w:instrText>ADDIN CSL_CITATION {"citationItems":[{"id":"ITEM-1","itemData":{"ISBN":"9789675771415","abstract":"This book is a practical guide for those who are directly involved in research. It covers all aspects of research methodology and is a useful teaching and learning tool for courses related to research at both undergraduate and postgraduate levels. This book can also be used as a reference by researchers when they are conducting and reporting their research. Not only does Mastering Research Methods introduce readers to methods of conducting\\r\\nresearch, it helps them to easily understand the entire research process. In addition, explanations about the concept of research, especially the design, measurement and sampling procedures, and format of research reports are simplified to help readers of all levels better understand what they are reading. Concepts are explained in detail with examples to enable readers to carry out confidently each stage of the research process. Exercises are provided at the end of each chapter to help readers reinforce their\\r\\nunderstanding of the topics covered in the chapter.","author":[{"dropping-particle":"","family":"Piaw","given":"Chua Yan","non-dropping-particle":"","parse-names":false,"suffix":""}],"container-title":"Journal","id":"ITEM-1","issue":"2012","issued":{"date-parts":[["2012"]]},"number-of-pages":"300","title":"Mastering research methods","type":"book","volume":"2"},"uris":["http://www.mendeley.com/documents/?uuid=4ce778fc-c034-4f1d-bf86-cfdebe87d6ff"]}],"mendeley":{"formattedCitation":"(Piaw, 2012)","plainTextFormattedCitation":"(Piaw, 2012)"},"properties":{"noteIndex":0},"schema":"https://github.com/citation-style-language/schema/raw/master/csl-citation.json"}</w:instrText>
      </w:r>
      <w:r w:rsidR="002057B3">
        <w:fldChar w:fldCharType="separate"/>
      </w:r>
      <w:r w:rsidR="002057B3" w:rsidRPr="002057B3">
        <w:rPr>
          <w:noProof/>
        </w:rPr>
        <w:t>(Piaw, 2012)</w:t>
      </w:r>
      <w:r w:rsidR="002057B3">
        <w:fldChar w:fldCharType="end"/>
      </w:r>
      <w:r>
        <w:t xml:space="preserve">. </w:t>
      </w:r>
      <w:r w:rsidR="002057B3">
        <w:t xml:space="preserve">As can be seen in the result below, customer satisfaction variable has the highest value of 3.65 which indicates this variable is dispersed farthest compared to the other variables. </w:t>
      </w:r>
    </w:p>
    <w:p w14:paraId="0EDF6C2A" w14:textId="4211E2A4" w:rsidR="00510785" w:rsidRPr="00510785" w:rsidRDefault="00510785" w:rsidP="00510785">
      <w:pPr>
        <w:spacing w:before="1"/>
        <w:ind w:left="270" w:right="406"/>
        <w:jc w:val="center"/>
        <w:rPr>
          <w:sz w:val="18"/>
          <w:szCs w:val="14"/>
        </w:rPr>
      </w:pPr>
      <w:r w:rsidRPr="00510785">
        <w:rPr>
          <w:b/>
          <w:sz w:val="18"/>
          <w:szCs w:val="14"/>
        </w:rPr>
        <w:t xml:space="preserve">Table 5. </w:t>
      </w:r>
      <w:r w:rsidRPr="00510785">
        <w:rPr>
          <w:sz w:val="18"/>
          <w:szCs w:val="14"/>
        </w:rPr>
        <w:t>Descriptive Statistics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275"/>
        <w:gridCol w:w="1327"/>
        <w:gridCol w:w="1032"/>
      </w:tblGrid>
      <w:tr w:rsidR="00510785" w14:paraId="781BC242" w14:textId="77777777" w:rsidTr="00510785">
        <w:trPr>
          <w:trHeight w:val="275"/>
          <w:jc w:val="center"/>
        </w:trPr>
        <w:tc>
          <w:tcPr>
            <w:tcW w:w="5249" w:type="dxa"/>
            <w:gridSpan w:val="4"/>
            <w:tcBorders>
              <w:top w:val="single" w:sz="4" w:space="0" w:color="000000"/>
              <w:left w:val="single" w:sz="4" w:space="0" w:color="000000"/>
              <w:bottom w:val="single" w:sz="4" w:space="0" w:color="000000"/>
              <w:right w:val="single" w:sz="4" w:space="0" w:color="000000"/>
            </w:tcBorders>
            <w:hideMark/>
          </w:tcPr>
          <w:p w14:paraId="2C4542AD" w14:textId="77777777" w:rsidR="00510785" w:rsidRPr="00510785" w:rsidRDefault="00510785">
            <w:pPr>
              <w:pStyle w:val="TableParagraph"/>
              <w:ind w:left="167"/>
              <w:jc w:val="center"/>
              <w:rPr>
                <w:b/>
                <w:sz w:val="18"/>
                <w:szCs w:val="16"/>
              </w:rPr>
            </w:pPr>
            <w:r w:rsidRPr="00510785">
              <w:rPr>
                <w:b/>
                <w:sz w:val="18"/>
                <w:szCs w:val="16"/>
              </w:rPr>
              <w:t>Descriptive Statistics</w:t>
            </w:r>
          </w:p>
        </w:tc>
      </w:tr>
      <w:tr w:rsidR="00510785" w14:paraId="0BDE652F" w14:textId="77777777" w:rsidTr="00510785">
        <w:trPr>
          <w:trHeight w:val="552"/>
          <w:jc w:val="center"/>
        </w:trPr>
        <w:tc>
          <w:tcPr>
            <w:tcW w:w="1615" w:type="dxa"/>
            <w:tcBorders>
              <w:top w:val="single" w:sz="4" w:space="0" w:color="000000"/>
              <w:left w:val="single" w:sz="4" w:space="0" w:color="000000"/>
              <w:bottom w:val="single" w:sz="4" w:space="0" w:color="000000"/>
              <w:right w:val="single" w:sz="4" w:space="0" w:color="000000"/>
            </w:tcBorders>
          </w:tcPr>
          <w:p w14:paraId="5BF84EE4" w14:textId="77777777" w:rsidR="00510785" w:rsidRDefault="00510785">
            <w:pPr>
              <w:pStyle w:val="TableParagraph"/>
              <w:spacing w:line="240" w:lineRule="auto"/>
              <w:ind w:left="0"/>
              <w:rPr>
                <w:sz w:val="18"/>
                <w:szCs w:val="18"/>
              </w:rPr>
            </w:pPr>
          </w:p>
        </w:tc>
        <w:tc>
          <w:tcPr>
            <w:tcW w:w="1275" w:type="dxa"/>
            <w:tcBorders>
              <w:top w:val="single" w:sz="4" w:space="0" w:color="000000"/>
              <w:left w:val="single" w:sz="4" w:space="0" w:color="000000"/>
              <w:bottom w:val="single" w:sz="4" w:space="0" w:color="000000"/>
              <w:right w:val="single" w:sz="4" w:space="0" w:color="000000"/>
            </w:tcBorders>
            <w:hideMark/>
          </w:tcPr>
          <w:p w14:paraId="5FF776D7" w14:textId="77777777" w:rsidR="00510785" w:rsidRPr="00510785" w:rsidRDefault="00510785">
            <w:pPr>
              <w:pStyle w:val="TableParagraph"/>
              <w:spacing w:before="1" w:line="240" w:lineRule="auto"/>
              <w:ind w:left="167"/>
              <w:rPr>
                <w:b/>
                <w:bCs/>
                <w:sz w:val="18"/>
                <w:szCs w:val="16"/>
              </w:rPr>
            </w:pPr>
            <w:r w:rsidRPr="00510785">
              <w:rPr>
                <w:b/>
                <w:bCs/>
                <w:sz w:val="18"/>
                <w:szCs w:val="16"/>
              </w:rPr>
              <w:t>Mean</w:t>
            </w:r>
          </w:p>
        </w:tc>
        <w:tc>
          <w:tcPr>
            <w:tcW w:w="1327" w:type="dxa"/>
            <w:tcBorders>
              <w:top w:val="single" w:sz="4" w:space="0" w:color="000000"/>
              <w:left w:val="single" w:sz="4" w:space="0" w:color="000000"/>
              <w:bottom w:val="single" w:sz="4" w:space="0" w:color="000000"/>
              <w:right w:val="single" w:sz="4" w:space="0" w:color="000000"/>
            </w:tcBorders>
            <w:hideMark/>
          </w:tcPr>
          <w:p w14:paraId="3396F32B" w14:textId="77777777" w:rsidR="00510785" w:rsidRPr="00510785" w:rsidRDefault="00510785">
            <w:pPr>
              <w:pStyle w:val="TableParagraph"/>
              <w:spacing w:before="1" w:line="270" w:lineRule="exact"/>
              <w:ind w:left="167" w:right="183"/>
              <w:rPr>
                <w:b/>
                <w:bCs/>
                <w:sz w:val="18"/>
                <w:szCs w:val="16"/>
              </w:rPr>
            </w:pPr>
            <w:r w:rsidRPr="00510785">
              <w:rPr>
                <w:b/>
                <w:bCs/>
                <w:sz w:val="18"/>
                <w:szCs w:val="16"/>
              </w:rPr>
              <w:t>Std. Deviation</w:t>
            </w:r>
          </w:p>
        </w:tc>
        <w:tc>
          <w:tcPr>
            <w:tcW w:w="1032" w:type="dxa"/>
            <w:tcBorders>
              <w:top w:val="single" w:sz="4" w:space="0" w:color="000000"/>
              <w:left w:val="single" w:sz="4" w:space="0" w:color="000000"/>
              <w:bottom w:val="single" w:sz="4" w:space="0" w:color="000000"/>
              <w:right w:val="single" w:sz="4" w:space="0" w:color="000000"/>
            </w:tcBorders>
            <w:hideMark/>
          </w:tcPr>
          <w:p w14:paraId="40FB8306" w14:textId="77777777" w:rsidR="00510785" w:rsidRPr="00510785" w:rsidRDefault="00510785">
            <w:pPr>
              <w:pStyle w:val="TableParagraph"/>
              <w:spacing w:before="1" w:line="240" w:lineRule="auto"/>
              <w:ind w:left="169"/>
              <w:rPr>
                <w:b/>
                <w:bCs/>
                <w:sz w:val="18"/>
                <w:szCs w:val="16"/>
              </w:rPr>
            </w:pPr>
            <w:r w:rsidRPr="00510785">
              <w:rPr>
                <w:b/>
                <w:bCs/>
                <w:w w:val="99"/>
                <w:sz w:val="18"/>
                <w:szCs w:val="16"/>
              </w:rPr>
              <w:t>N</w:t>
            </w:r>
          </w:p>
        </w:tc>
      </w:tr>
      <w:tr w:rsidR="00510785" w14:paraId="5C8C69BB" w14:textId="77777777" w:rsidTr="00510785">
        <w:trPr>
          <w:trHeight w:val="275"/>
          <w:jc w:val="center"/>
        </w:trPr>
        <w:tc>
          <w:tcPr>
            <w:tcW w:w="1615" w:type="dxa"/>
            <w:tcBorders>
              <w:top w:val="single" w:sz="4" w:space="0" w:color="000000"/>
              <w:left w:val="single" w:sz="4" w:space="0" w:color="000000"/>
              <w:bottom w:val="single" w:sz="4" w:space="0" w:color="000000"/>
              <w:right w:val="single" w:sz="4" w:space="0" w:color="000000"/>
            </w:tcBorders>
            <w:hideMark/>
          </w:tcPr>
          <w:p w14:paraId="6DDC740B" w14:textId="77777777" w:rsidR="00510785" w:rsidRPr="00510785" w:rsidRDefault="00510785">
            <w:pPr>
              <w:pStyle w:val="TableParagraph"/>
              <w:ind w:left="107"/>
              <w:rPr>
                <w:sz w:val="18"/>
                <w:szCs w:val="16"/>
              </w:rPr>
            </w:pPr>
            <w:r w:rsidRPr="00510785">
              <w:rPr>
                <w:sz w:val="18"/>
                <w:szCs w:val="16"/>
              </w:rPr>
              <w:t>Adoption of Technology</w:t>
            </w:r>
          </w:p>
        </w:tc>
        <w:tc>
          <w:tcPr>
            <w:tcW w:w="1275" w:type="dxa"/>
            <w:tcBorders>
              <w:top w:val="single" w:sz="4" w:space="0" w:color="000000"/>
              <w:left w:val="single" w:sz="4" w:space="0" w:color="000000"/>
              <w:bottom w:val="single" w:sz="4" w:space="0" w:color="000000"/>
              <w:right w:val="single" w:sz="4" w:space="0" w:color="000000"/>
            </w:tcBorders>
            <w:hideMark/>
          </w:tcPr>
          <w:p w14:paraId="3D5CBE23" w14:textId="77777777" w:rsidR="00510785" w:rsidRPr="00510785" w:rsidRDefault="00510785">
            <w:pPr>
              <w:pStyle w:val="TableParagraph"/>
              <w:ind w:left="167"/>
              <w:rPr>
                <w:sz w:val="18"/>
                <w:szCs w:val="16"/>
              </w:rPr>
            </w:pPr>
            <w:r w:rsidRPr="00510785">
              <w:rPr>
                <w:sz w:val="18"/>
                <w:szCs w:val="16"/>
              </w:rPr>
              <w:t>20.1800</w:t>
            </w:r>
          </w:p>
        </w:tc>
        <w:tc>
          <w:tcPr>
            <w:tcW w:w="1327" w:type="dxa"/>
            <w:tcBorders>
              <w:top w:val="single" w:sz="4" w:space="0" w:color="000000"/>
              <w:left w:val="single" w:sz="4" w:space="0" w:color="000000"/>
              <w:bottom w:val="single" w:sz="4" w:space="0" w:color="000000"/>
              <w:right w:val="single" w:sz="4" w:space="0" w:color="000000"/>
            </w:tcBorders>
            <w:hideMark/>
          </w:tcPr>
          <w:p w14:paraId="29F70D2C" w14:textId="77777777" w:rsidR="00510785" w:rsidRPr="00510785" w:rsidRDefault="00510785">
            <w:pPr>
              <w:pStyle w:val="TableParagraph"/>
              <w:ind w:left="167"/>
              <w:rPr>
                <w:sz w:val="18"/>
                <w:szCs w:val="16"/>
              </w:rPr>
            </w:pPr>
            <w:r w:rsidRPr="00510785">
              <w:rPr>
                <w:sz w:val="18"/>
                <w:szCs w:val="16"/>
              </w:rPr>
              <w:t>3.43505</w:t>
            </w:r>
          </w:p>
        </w:tc>
        <w:tc>
          <w:tcPr>
            <w:tcW w:w="1032" w:type="dxa"/>
            <w:tcBorders>
              <w:top w:val="single" w:sz="4" w:space="0" w:color="000000"/>
              <w:left w:val="single" w:sz="4" w:space="0" w:color="000000"/>
              <w:bottom w:val="single" w:sz="4" w:space="0" w:color="000000"/>
              <w:right w:val="single" w:sz="4" w:space="0" w:color="000000"/>
            </w:tcBorders>
            <w:hideMark/>
          </w:tcPr>
          <w:p w14:paraId="05C11D44" w14:textId="77777777" w:rsidR="00510785" w:rsidRPr="00510785" w:rsidRDefault="00510785">
            <w:pPr>
              <w:pStyle w:val="TableParagraph"/>
              <w:ind w:left="169"/>
              <w:rPr>
                <w:sz w:val="18"/>
                <w:szCs w:val="16"/>
              </w:rPr>
            </w:pPr>
            <w:r w:rsidRPr="00510785">
              <w:rPr>
                <w:sz w:val="18"/>
                <w:szCs w:val="16"/>
              </w:rPr>
              <w:t>150</w:t>
            </w:r>
          </w:p>
        </w:tc>
      </w:tr>
      <w:tr w:rsidR="00510785" w14:paraId="0C6ECAE6" w14:textId="77777777" w:rsidTr="00510785">
        <w:trPr>
          <w:trHeight w:val="552"/>
          <w:jc w:val="center"/>
        </w:trPr>
        <w:tc>
          <w:tcPr>
            <w:tcW w:w="1615" w:type="dxa"/>
            <w:tcBorders>
              <w:top w:val="single" w:sz="4" w:space="0" w:color="000000"/>
              <w:left w:val="single" w:sz="4" w:space="0" w:color="000000"/>
              <w:bottom w:val="single" w:sz="4" w:space="0" w:color="000000"/>
              <w:right w:val="single" w:sz="4" w:space="0" w:color="000000"/>
            </w:tcBorders>
            <w:hideMark/>
          </w:tcPr>
          <w:p w14:paraId="11C11556" w14:textId="77777777" w:rsidR="00510785" w:rsidRPr="00510785" w:rsidRDefault="00510785">
            <w:pPr>
              <w:pStyle w:val="TableParagraph"/>
              <w:spacing w:line="270" w:lineRule="exact"/>
              <w:ind w:left="107" w:right="830"/>
              <w:rPr>
                <w:sz w:val="18"/>
                <w:szCs w:val="16"/>
              </w:rPr>
            </w:pPr>
            <w:r w:rsidRPr="00510785">
              <w:rPr>
                <w:sz w:val="18"/>
                <w:szCs w:val="16"/>
              </w:rPr>
              <w:t>Product offered</w:t>
            </w:r>
          </w:p>
        </w:tc>
        <w:tc>
          <w:tcPr>
            <w:tcW w:w="1275" w:type="dxa"/>
            <w:tcBorders>
              <w:top w:val="single" w:sz="4" w:space="0" w:color="000000"/>
              <w:left w:val="single" w:sz="4" w:space="0" w:color="000000"/>
              <w:bottom w:val="single" w:sz="4" w:space="0" w:color="000000"/>
              <w:right w:val="single" w:sz="4" w:space="0" w:color="000000"/>
            </w:tcBorders>
            <w:hideMark/>
          </w:tcPr>
          <w:p w14:paraId="375C3505" w14:textId="77777777" w:rsidR="00510785" w:rsidRPr="00510785" w:rsidRDefault="00510785">
            <w:pPr>
              <w:pStyle w:val="TableParagraph"/>
              <w:spacing w:line="240" w:lineRule="auto"/>
              <w:ind w:left="167"/>
              <w:rPr>
                <w:sz w:val="18"/>
                <w:szCs w:val="16"/>
              </w:rPr>
            </w:pPr>
            <w:r w:rsidRPr="00510785">
              <w:rPr>
                <w:sz w:val="18"/>
                <w:szCs w:val="16"/>
              </w:rPr>
              <w:t>20.2267</w:t>
            </w:r>
          </w:p>
        </w:tc>
        <w:tc>
          <w:tcPr>
            <w:tcW w:w="1327" w:type="dxa"/>
            <w:tcBorders>
              <w:top w:val="single" w:sz="4" w:space="0" w:color="000000"/>
              <w:left w:val="single" w:sz="4" w:space="0" w:color="000000"/>
              <w:bottom w:val="single" w:sz="4" w:space="0" w:color="000000"/>
              <w:right w:val="single" w:sz="4" w:space="0" w:color="000000"/>
            </w:tcBorders>
            <w:hideMark/>
          </w:tcPr>
          <w:p w14:paraId="676AE42B" w14:textId="77777777" w:rsidR="00510785" w:rsidRPr="00510785" w:rsidRDefault="00510785">
            <w:pPr>
              <w:pStyle w:val="TableParagraph"/>
              <w:spacing w:line="240" w:lineRule="auto"/>
              <w:ind w:left="167"/>
              <w:rPr>
                <w:sz w:val="18"/>
                <w:szCs w:val="16"/>
              </w:rPr>
            </w:pPr>
            <w:r w:rsidRPr="00510785">
              <w:rPr>
                <w:sz w:val="18"/>
                <w:szCs w:val="16"/>
              </w:rPr>
              <w:t>3.61419</w:t>
            </w:r>
          </w:p>
        </w:tc>
        <w:tc>
          <w:tcPr>
            <w:tcW w:w="1032" w:type="dxa"/>
            <w:tcBorders>
              <w:top w:val="single" w:sz="4" w:space="0" w:color="000000"/>
              <w:left w:val="single" w:sz="4" w:space="0" w:color="000000"/>
              <w:bottom w:val="single" w:sz="4" w:space="0" w:color="000000"/>
              <w:right w:val="single" w:sz="4" w:space="0" w:color="000000"/>
            </w:tcBorders>
            <w:hideMark/>
          </w:tcPr>
          <w:p w14:paraId="0AC04048" w14:textId="77777777" w:rsidR="00510785" w:rsidRPr="00510785" w:rsidRDefault="00510785">
            <w:pPr>
              <w:pStyle w:val="TableParagraph"/>
              <w:spacing w:line="240" w:lineRule="auto"/>
              <w:ind w:left="169"/>
              <w:rPr>
                <w:sz w:val="18"/>
                <w:szCs w:val="16"/>
              </w:rPr>
            </w:pPr>
            <w:r w:rsidRPr="00510785">
              <w:rPr>
                <w:sz w:val="18"/>
                <w:szCs w:val="16"/>
              </w:rPr>
              <w:t>150</w:t>
            </w:r>
          </w:p>
        </w:tc>
      </w:tr>
      <w:tr w:rsidR="00510785" w14:paraId="47F4BE6C" w14:textId="77777777" w:rsidTr="00510785">
        <w:trPr>
          <w:trHeight w:val="276"/>
          <w:jc w:val="center"/>
        </w:trPr>
        <w:tc>
          <w:tcPr>
            <w:tcW w:w="1615" w:type="dxa"/>
            <w:tcBorders>
              <w:top w:val="single" w:sz="4" w:space="0" w:color="000000"/>
              <w:left w:val="single" w:sz="4" w:space="0" w:color="000000"/>
              <w:bottom w:val="single" w:sz="4" w:space="0" w:color="000000"/>
              <w:right w:val="single" w:sz="4" w:space="0" w:color="000000"/>
            </w:tcBorders>
            <w:hideMark/>
          </w:tcPr>
          <w:p w14:paraId="116A8AA3" w14:textId="77777777" w:rsidR="00510785" w:rsidRPr="00510785" w:rsidRDefault="00510785">
            <w:pPr>
              <w:pStyle w:val="TableParagraph"/>
              <w:spacing w:before="1"/>
              <w:ind w:left="107"/>
              <w:rPr>
                <w:sz w:val="18"/>
                <w:szCs w:val="16"/>
              </w:rPr>
            </w:pPr>
            <w:r w:rsidRPr="00510785">
              <w:rPr>
                <w:sz w:val="18"/>
                <w:szCs w:val="16"/>
              </w:rPr>
              <w:t>Consultancy</w:t>
            </w:r>
          </w:p>
        </w:tc>
        <w:tc>
          <w:tcPr>
            <w:tcW w:w="1275" w:type="dxa"/>
            <w:tcBorders>
              <w:top w:val="single" w:sz="4" w:space="0" w:color="000000"/>
              <w:left w:val="single" w:sz="4" w:space="0" w:color="000000"/>
              <w:bottom w:val="single" w:sz="4" w:space="0" w:color="000000"/>
              <w:right w:val="single" w:sz="4" w:space="0" w:color="000000"/>
            </w:tcBorders>
            <w:hideMark/>
          </w:tcPr>
          <w:p w14:paraId="3F5541B8" w14:textId="77777777" w:rsidR="00510785" w:rsidRPr="00510785" w:rsidRDefault="00510785">
            <w:pPr>
              <w:pStyle w:val="TableParagraph"/>
              <w:spacing w:before="1"/>
              <w:ind w:left="167"/>
              <w:rPr>
                <w:sz w:val="18"/>
                <w:szCs w:val="16"/>
              </w:rPr>
            </w:pPr>
            <w:r w:rsidRPr="00510785">
              <w:rPr>
                <w:sz w:val="18"/>
                <w:szCs w:val="16"/>
              </w:rPr>
              <w:t>19.7600</w:t>
            </w:r>
          </w:p>
        </w:tc>
        <w:tc>
          <w:tcPr>
            <w:tcW w:w="1327" w:type="dxa"/>
            <w:tcBorders>
              <w:top w:val="single" w:sz="4" w:space="0" w:color="000000"/>
              <w:left w:val="single" w:sz="4" w:space="0" w:color="000000"/>
              <w:bottom w:val="single" w:sz="4" w:space="0" w:color="000000"/>
              <w:right w:val="single" w:sz="4" w:space="0" w:color="000000"/>
            </w:tcBorders>
            <w:hideMark/>
          </w:tcPr>
          <w:p w14:paraId="44C6F3A7" w14:textId="77777777" w:rsidR="00510785" w:rsidRPr="00510785" w:rsidRDefault="00510785">
            <w:pPr>
              <w:pStyle w:val="TableParagraph"/>
              <w:spacing w:before="1"/>
              <w:ind w:left="167"/>
              <w:rPr>
                <w:sz w:val="18"/>
                <w:szCs w:val="16"/>
              </w:rPr>
            </w:pPr>
            <w:r w:rsidRPr="00510785">
              <w:rPr>
                <w:sz w:val="18"/>
                <w:szCs w:val="16"/>
              </w:rPr>
              <w:t>3.49627</w:t>
            </w:r>
          </w:p>
        </w:tc>
        <w:tc>
          <w:tcPr>
            <w:tcW w:w="1032" w:type="dxa"/>
            <w:tcBorders>
              <w:top w:val="single" w:sz="4" w:space="0" w:color="000000"/>
              <w:left w:val="single" w:sz="4" w:space="0" w:color="000000"/>
              <w:bottom w:val="single" w:sz="4" w:space="0" w:color="000000"/>
              <w:right w:val="single" w:sz="4" w:space="0" w:color="000000"/>
            </w:tcBorders>
            <w:hideMark/>
          </w:tcPr>
          <w:p w14:paraId="1F7E3645" w14:textId="77777777" w:rsidR="00510785" w:rsidRPr="00510785" w:rsidRDefault="00510785">
            <w:pPr>
              <w:pStyle w:val="TableParagraph"/>
              <w:spacing w:before="1"/>
              <w:ind w:left="169"/>
              <w:rPr>
                <w:sz w:val="18"/>
                <w:szCs w:val="16"/>
              </w:rPr>
            </w:pPr>
            <w:r w:rsidRPr="00510785">
              <w:rPr>
                <w:sz w:val="18"/>
                <w:szCs w:val="16"/>
              </w:rPr>
              <w:t>150</w:t>
            </w:r>
          </w:p>
        </w:tc>
      </w:tr>
      <w:tr w:rsidR="00510785" w14:paraId="14C0625F" w14:textId="77777777" w:rsidTr="00510785">
        <w:trPr>
          <w:trHeight w:val="551"/>
          <w:jc w:val="center"/>
        </w:trPr>
        <w:tc>
          <w:tcPr>
            <w:tcW w:w="1615" w:type="dxa"/>
            <w:tcBorders>
              <w:top w:val="single" w:sz="4" w:space="0" w:color="000000"/>
              <w:left w:val="single" w:sz="4" w:space="0" w:color="000000"/>
              <w:bottom w:val="single" w:sz="4" w:space="0" w:color="000000"/>
              <w:right w:val="single" w:sz="4" w:space="0" w:color="000000"/>
            </w:tcBorders>
            <w:hideMark/>
          </w:tcPr>
          <w:p w14:paraId="133A0868" w14:textId="77777777" w:rsidR="00510785" w:rsidRPr="00510785" w:rsidRDefault="00510785">
            <w:pPr>
              <w:pStyle w:val="TableParagraph"/>
              <w:spacing w:line="270" w:lineRule="exact"/>
              <w:ind w:left="107" w:right="510"/>
              <w:rPr>
                <w:sz w:val="18"/>
                <w:szCs w:val="16"/>
              </w:rPr>
            </w:pPr>
            <w:r w:rsidRPr="00510785">
              <w:rPr>
                <w:sz w:val="18"/>
                <w:szCs w:val="16"/>
              </w:rPr>
              <w:t>Customer satisfaction</w:t>
            </w:r>
          </w:p>
        </w:tc>
        <w:tc>
          <w:tcPr>
            <w:tcW w:w="1275" w:type="dxa"/>
            <w:tcBorders>
              <w:top w:val="single" w:sz="4" w:space="0" w:color="000000"/>
              <w:left w:val="single" w:sz="4" w:space="0" w:color="000000"/>
              <w:bottom w:val="single" w:sz="4" w:space="0" w:color="000000"/>
              <w:right w:val="single" w:sz="4" w:space="0" w:color="000000"/>
            </w:tcBorders>
            <w:hideMark/>
          </w:tcPr>
          <w:p w14:paraId="34614916" w14:textId="77777777" w:rsidR="00510785" w:rsidRPr="00510785" w:rsidRDefault="00510785">
            <w:pPr>
              <w:pStyle w:val="TableParagraph"/>
              <w:spacing w:line="240" w:lineRule="auto"/>
              <w:ind w:left="167"/>
              <w:rPr>
                <w:sz w:val="18"/>
                <w:szCs w:val="16"/>
              </w:rPr>
            </w:pPr>
            <w:r w:rsidRPr="00510785">
              <w:rPr>
                <w:sz w:val="18"/>
                <w:szCs w:val="16"/>
              </w:rPr>
              <w:t>19.8133</w:t>
            </w:r>
          </w:p>
        </w:tc>
        <w:tc>
          <w:tcPr>
            <w:tcW w:w="1327" w:type="dxa"/>
            <w:tcBorders>
              <w:top w:val="single" w:sz="4" w:space="0" w:color="000000"/>
              <w:left w:val="single" w:sz="4" w:space="0" w:color="000000"/>
              <w:bottom w:val="single" w:sz="4" w:space="0" w:color="000000"/>
              <w:right w:val="single" w:sz="4" w:space="0" w:color="000000"/>
            </w:tcBorders>
            <w:hideMark/>
          </w:tcPr>
          <w:p w14:paraId="133D9987" w14:textId="77777777" w:rsidR="00510785" w:rsidRPr="00510785" w:rsidRDefault="00510785">
            <w:pPr>
              <w:pStyle w:val="TableParagraph"/>
              <w:spacing w:line="240" w:lineRule="auto"/>
              <w:ind w:left="167"/>
              <w:rPr>
                <w:sz w:val="18"/>
                <w:szCs w:val="16"/>
              </w:rPr>
            </w:pPr>
            <w:r w:rsidRPr="00510785">
              <w:rPr>
                <w:sz w:val="18"/>
                <w:szCs w:val="16"/>
              </w:rPr>
              <w:t>3.65158</w:t>
            </w:r>
          </w:p>
        </w:tc>
        <w:tc>
          <w:tcPr>
            <w:tcW w:w="1032" w:type="dxa"/>
            <w:tcBorders>
              <w:top w:val="single" w:sz="4" w:space="0" w:color="000000"/>
              <w:left w:val="single" w:sz="4" w:space="0" w:color="000000"/>
              <w:bottom w:val="single" w:sz="4" w:space="0" w:color="000000"/>
              <w:right w:val="single" w:sz="4" w:space="0" w:color="000000"/>
            </w:tcBorders>
            <w:hideMark/>
          </w:tcPr>
          <w:p w14:paraId="3D377CED" w14:textId="77777777" w:rsidR="00510785" w:rsidRPr="00510785" w:rsidRDefault="00510785">
            <w:pPr>
              <w:pStyle w:val="TableParagraph"/>
              <w:spacing w:line="240" w:lineRule="auto"/>
              <w:ind w:left="169"/>
              <w:rPr>
                <w:sz w:val="18"/>
                <w:szCs w:val="16"/>
              </w:rPr>
            </w:pPr>
            <w:r w:rsidRPr="00510785">
              <w:rPr>
                <w:sz w:val="18"/>
                <w:szCs w:val="16"/>
              </w:rPr>
              <w:t>150</w:t>
            </w:r>
          </w:p>
        </w:tc>
      </w:tr>
    </w:tbl>
    <w:p w14:paraId="6C403DE0" w14:textId="21A21F38" w:rsidR="00510785" w:rsidRDefault="00510785" w:rsidP="00405CF6">
      <w:pPr>
        <w:ind w:firstLine="0"/>
      </w:pPr>
    </w:p>
    <w:p w14:paraId="23815E74" w14:textId="0ED799C6" w:rsidR="00510785" w:rsidRDefault="00510785" w:rsidP="00510785">
      <w:pPr>
        <w:pStyle w:val="heading2"/>
      </w:pPr>
      <w:r>
        <w:t>Pearson’s Correlation Analysis</w:t>
      </w:r>
    </w:p>
    <w:p w14:paraId="22CF14FC" w14:textId="77777777" w:rsidR="00510785" w:rsidRPr="00510785" w:rsidRDefault="00510785" w:rsidP="00510785">
      <w:pPr>
        <w:ind w:firstLine="0"/>
      </w:pPr>
      <w:r w:rsidRPr="00510785">
        <w:t xml:space="preserve">The Pearson’s correlation analysis is adopted in this study to assess the relationship between the variables. Table 6 below specifies the strength of correlation according to the coefficient range as stated. </w:t>
      </w:r>
    </w:p>
    <w:p w14:paraId="0032F529" w14:textId="13CB7599" w:rsidR="00510785" w:rsidRDefault="00510785" w:rsidP="00510785">
      <w:pPr>
        <w:pStyle w:val="p1a"/>
      </w:pPr>
    </w:p>
    <w:p w14:paraId="507BB499" w14:textId="13AF05ED" w:rsidR="00510785" w:rsidRPr="00510785" w:rsidRDefault="00510785" w:rsidP="00510785">
      <w:pPr>
        <w:overflowPunct/>
        <w:autoSpaceDE/>
        <w:adjustRightInd/>
        <w:spacing w:after="160" w:line="240" w:lineRule="auto"/>
        <w:ind w:firstLine="0"/>
        <w:jc w:val="center"/>
        <w:rPr>
          <w:sz w:val="18"/>
          <w:szCs w:val="18"/>
          <w:lang w:val="en-MY" w:eastAsia="en-MY"/>
        </w:rPr>
      </w:pPr>
      <w:r w:rsidRPr="00510785">
        <w:rPr>
          <w:b/>
          <w:bCs/>
          <w:color w:val="000000"/>
          <w:sz w:val="18"/>
          <w:szCs w:val="18"/>
          <w:lang w:val="en-MY" w:eastAsia="en-MY"/>
        </w:rPr>
        <w:t>Table 6</w:t>
      </w:r>
      <w:r>
        <w:rPr>
          <w:color w:val="000000"/>
          <w:sz w:val="18"/>
          <w:szCs w:val="18"/>
          <w:lang w:val="en-MY" w:eastAsia="en-MY"/>
        </w:rPr>
        <w:t>.</w:t>
      </w:r>
      <w:r w:rsidRPr="00510785">
        <w:rPr>
          <w:color w:val="000000"/>
          <w:sz w:val="18"/>
          <w:szCs w:val="18"/>
          <w:lang w:val="en-MY" w:eastAsia="en-MY"/>
        </w:rPr>
        <w:t xml:space="preserve"> Rule of Thumb the strength of correlation coefficient</w:t>
      </w:r>
    </w:p>
    <w:tbl>
      <w:tblPr>
        <w:tblW w:w="0" w:type="auto"/>
        <w:jc w:val="center"/>
        <w:tblLook w:val="04A0" w:firstRow="1" w:lastRow="0" w:firstColumn="1" w:lastColumn="0" w:noHBand="0" w:noVBand="1"/>
      </w:tblPr>
      <w:tblGrid>
        <w:gridCol w:w="1919"/>
        <w:gridCol w:w="2264"/>
      </w:tblGrid>
      <w:tr w:rsidR="00510785" w14:paraId="2F63AC57" w14:textId="77777777" w:rsidTr="00510785">
        <w:trPr>
          <w:trHeight w:val="37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C220E" w14:textId="77777777" w:rsidR="00510785" w:rsidRDefault="00510785">
            <w:pPr>
              <w:overflowPunct/>
              <w:autoSpaceDE/>
              <w:adjustRightInd/>
              <w:spacing w:line="240" w:lineRule="auto"/>
              <w:ind w:firstLine="0"/>
              <w:jc w:val="center"/>
              <w:rPr>
                <w:lang w:val="en-MY" w:eastAsia="en-MY"/>
              </w:rPr>
            </w:pPr>
            <w:r>
              <w:rPr>
                <w:b/>
                <w:bCs/>
                <w:color w:val="000000"/>
                <w:lang w:val="en-MY" w:eastAsia="en-MY"/>
              </w:rPr>
              <w:t>Coefficient of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35013" w14:textId="77777777" w:rsidR="00510785" w:rsidRDefault="00510785">
            <w:pPr>
              <w:overflowPunct/>
              <w:autoSpaceDE/>
              <w:adjustRightInd/>
              <w:spacing w:line="240" w:lineRule="auto"/>
              <w:ind w:firstLine="0"/>
              <w:jc w:val="center"/>
              <w:rPr>
                <w:lang w:val="en-MY" w:eastAsia="en-MY"/>
              </w:rPr>
            </w:pPr>
            <w:r>
              <w:rPr>
                <w:b/>
                <w:bCs/>
                <w:color w:val="000000"/>
                <w:lang w:val="en-MY" w:eastAsia="en-MY"/>
              </w:rPr>
              <w:t>Strength of relationship</w:t>
            </w:r>
          </w:p>
        </w:tc>
      </w:tr>
      <w:tr w:rsidR="00510785" w14:paraId="43BCCCAF" w14:textId="77777777" w:rsidTr="00510785">
        <w:trPr>
          <w:trHeight w:val="3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74B5E" w14:textId="77777777" w:rsidR="00510785" w:rsidRDefault="00510785">
            <w:pPr>
              <w:overflowPunct/>
              <w:autoSpaceDE/>
              <w:adjustRightInd/>
              <w:spacing w:line="240" w:lineRule="auto"/>
              <w:ind w:firstLine="0"/>
              <w:jc w:val="center"/>
              <w:rPr>
                <w:lang w:val="en-MY" w:eastAsia="en-MY"/>
              </w:rPr>
            </w:pPr>
            <w:r>
              <w:rPr>
                <w:color w:val="000000"/>
                <w:lang w:val="en-MY" w:eastAsia="en-MY"/>
              </w:rPr>
              <w:t>0.81-1.00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30CBE" w14:textId="77777777" w:rsidR="00510785" w:rsidRDefault="00510785">
            <w:pPr>
              <w:overflowPunct/>
              <w:autoSpaceDE/>
              <w:adjustRightInd/>
              <w:spacing w:line="240" w:lineRule="auto"/>
              <w:ind w:firstLine="0"/>
              <w:jc w:val="center"/>
              <w:rPr>
                <w:lang w:val="en-MY" w:eastAsia="en-MY"/>
              </w:rPr>
            </w:pPr>
            <w:r>
              <w:rPr>
                <w:color w:val="000000"/>
                <w:lang w:val="en-MY" w:eastAsia="en-MY"/>
              </w:rPr>
              <w:t>Strong</w:t>
            </w:r>
          </w:p>
        </w:tc>
      </w:tr>
      <w:tr w:rsidR="00510785" w14:paraId="2E44FE9E" w14:textId="77777777" w:rsidTr="00510785">
        <w:trPr>
          <w:trHeight w:val="37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5327C" w14:textId="77777777" w:rsidR="00510785" w:rsidRDefault="00510785">
            <w:pPr>
              <w:overflowPunct/>
              <w:autoSpaceDE/>
              <w:adjustRightInd/>
              <w:spacing w:line="240" w:lineRule="auto"/>
              <w:ind w:firstLine="0"/>
              <w:jc w:val="center"/>
              <w:rPr>
                <w:lang w:val="en-MY" w:eastAsia="en-MY"/>
              </w:rPr>
            </w:pPr>
            <w:r>
              <w:rPr>
                <w:color w:val="000000"/>
                <w:lang w:val="en-MY" w:eastAsia="en-MY"/>
              </w:rPr>
              <w:t>0.61-0.80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EA1E1" w14:textId="77777777" w:rsidR="00510785" w:rsidRDefault="00510785">
            <w:pPr>
              <w:overflowPunct/>
              <w:autoSpaceDE/>
              <w:adjustRightInd/>
              <w:spacing w:line="240" w:lineRule="auto"/>
              <w:ind w:firstLine="0"/>
              <w:jc w:val="center"/>
              <w:rPr>
                <w:lang w:val="en-MY" w:eastAsia="en-MY"/>
              </w:rPr>
            </w:pPr>
            <w:r>
              <w:rPr>
                <w:color w:val="000000"/>
                <w:lang w:val="en-MY" w:eastAsia="en-MY"/>
              </w:rPr>
              <w:t>Moderate</w:t>
            </w:r>
          </w:p>
        </w:tc>
      </w:tr>
      <w:tr w:rsidR="00510785" w14:paraId="6667694D" w14:textId="77777777" w:rsidTr="00510785">
        <w:trPr>
          <w:trHeight w:val="37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8D0FC" w14:textId="77777777" w:rsidR="00510785" w:rsidRDefault="00510785">
            <w:pPr>
              <w:overflowPunct/>
              <w:autoSpaceDE/>
              <w:adjustRightInd/>
              <w:spacing w:line="240" w:lineRule="auto"/>
              <w:ind w:firstLine="0"/>
              <w:jc w:val="center"/>
              <w:rPr>
                <w:lang w:val="en-MY" w:eastAsia="en-MY"/>
              </w:rPr>
            </w:pPr>
            <w:r>
              <w:rPr>
                <w:color w:val="000000"/>
                <w:lang w:val="en-MY" w:eastAsia="en-MY"/>
              </w:rPr>
              <w:t>0.41-0.60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6285E" w14:textId="77777777" w:rsidR="00510785" w:rsidRDefault="00510785">
            <w:pPr>
              <w:overflowPunct/>
              <w:autoSpaceDE/>
              <w:adjustRightInd/>
              <w:spacing w:line="240" w:lineRule="auto"/>
              <w:ind w:firstLine="0"/>
              <w:jc w:val="center"/>
              <w:rPr>
                <w:lang w:val="en-MY" w:eastAsia="en-MY"/>
              </w:rPr>
            </w:pPr>
            <w:r>
              <w:rPr>
                <w:color w:val="000000"/>
                <w:lang w:val="en-MY" w:eastAsia="en-MY"/>
              </w:rPr>
              <w:t>Weak</w:t>
            </w:r>
          </w:p>
        </w:tc>
      </w:tr>
      <w:tr w:rsidR="00510785" w14:paraId="6709D3CC" w14:textId="77777777" w:rsidTr="00510785">
        <w:trPr>
          <w:trHeight w:val="37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F8FEF" w14:textId="77777777" w:rsidR="00510785" w:rsidRDefault="00510785">
            <w:pPr>
              <w:overflowPunct/>
              <w:autoSpaceDE/>
              <w:adjustRightInd/>
              <w:spacing w:line="240" w:lineRule="auto"/>
              <w:ind w:firstLine="0"/>
              <w:jc w:val="center"/>
              <w:rPr>
                <w:lang w:val="en-MY" w:eastAsia="en-MY"/>
              </w:rPr>
            </w:pPr>
            <w:r>
              <w:rPr>
                <w:color w:val="000000"/>
                <w:lang w:val="en-MY" w:eastAsia="en-MY"/>
              </w:rPr>
              <w:t>0.20-0.40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178F3" w14:textId="77777777" w:rsidR="00510785" w:rsidRDefault="00510785">
            <w:pPr>
              <w:overflowPunct/>
              <w:autoSpaceDE/>
              <w:adjustRightInd/>
              <w:spacing w:line="240" w:lineRule="auto"/>
              <w:ind w:firstLine="0"/>
              <w:jc w:val="center"/>
              <w:rPr>
                <w:lang w:val="en-MY" w:eastAsia="en-MY"/>
              </w:rPr>
            </w:pPr>
            <w:r>
              <w:rPr>
                <w:color w:val="000000"/>
                <w:lang w:val="en-MY" w:eastAsia="en-MY"/>
              </w:rPr>
              <w:t>Very weak</w:t>
            </w:r>
          </w:p>
        </w:tc>
      </w:tr>
      <w:tr w:rsidR="00510785" w14:paraId="73F931D3" w14:textId="77777777" w:rsidTr="00510785">
        <w:trPr>
          <w:trHeight w:val="37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F2AEC" w14:textId="77777777" w:rsidR="00510785" w:rsidRDefault="00510785">
            <w:pPr>
              <w:overflowPunct/>
              <w:autoSpaceDE/>
              <w:adjustRightInd/>
              <w:spacing w:line="240" w:lineRule="auto"/>
              <w:ind w:firstLine="0"/>
              <w:jc w:val="center"/>
              <w:rPr>
                <w:lang w:val="en-MY" w:eastAsia="en-MY"/>
              </w:rPr>
            </w:pPr>
            <w:r>
              <w:rPr>
                <w:color w:val="000000"/>
                <w:lang w:val="en-MY" w:eastAsia="en-MY"/>
              </w:rPr>
              <w:t>0-0.20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E9C92" w14:textId="77777777" w:rsidR="00510785" w:rsidRDefault="00510785">
            <w:pPr>
              <w:overflowPunct/>
              <w:autoSpaceDE/>
              <w:adjustRightInd/>
              <w:spacing w:line="240" w:lineRule="auto"/>
              <w:ind w:firstLine="0"/>
              <w:jc w:val="center"/>
              <w:rPr>
                <w:lang w:val="en-MY" w:eastAsia="en-MY"/>
              </w:rPr>
            </w:pPr>
            <w:r>
              <w:rPr>
                <w:color w:val="000000"/>
                <w:lang w:val="en-MY" w:eastAsia="en-MY"/>
              </w:rPr>
              <w:t>None</w:t>
            </w:r>
          </w:p>
        </w:tc>
      </w:tr>
    </w:tbl>
    <w:p w14:paraId="7F6B2401" w14:textId="77777777" w:rsidR="00510785" w:rsidRPr="00510785" w:rsidRDefault="00510785" w:rsidP="00510785"/>
    <w:p w14:paraId="240E0D4E" w14:textId="3EAFC7D6" w:rsidR="00510785" w:rsidRPr="002057B3" w:rsidRDefault="00510785" w:rsidP="002057B3">
      <w:pPr>
        <w:ind w:firstLine="0"/>
      </w:pPr>
      <w:r>
        <w:lastRenderedPageBreak/>
        <w:t>As</w:t>
      </w:r>
      <w:r>
        <w:rPr>
          <w:spacing w:val="-15"/>
        </w:rPr>
        <w:t xml:space="preserve"> </w:t>
      </w:r>
      <w:r>
        <w:t>can</w:t>
      </w:r>
      <w:r>
        <w:rPr>
          <w:spacing w:val="-13"/>
        </w:rPr>
        <w:t xml:space="preserve"> </w:t>
      </w:r>
      <w:r>
        <w:t>be</w:t>
      </w:r>
      <w:r>
        <w:rPr>
          <w:spacing w:val="-13"/>
        </w:rPr>
        <w:t xml:space="preserve"> </w:t>
      </w:r>
      <w:r>
        <w:t>seen</w:t>
      </w:r>
      <w:r>
        <w:rPr>
          <w:spacing w:val="-13"/>
        </w:rPr>
        <w:t xml:space="preserve"> </w:t>
      </w:r>
      <w:r>
        <w:t>in</w:t>
      </w:r>
      <w:r>
        <w:rPr>
          <w:spacing w:val="-13"/>
        </w:rPr>
        <w:t xml:space="preserve"> </w:t>
      </w:r>
      <w:r>
        <w:t>the</w:t>
      </w:r>
      <w:r>
        <w:rPr>
          <w:spacing w:val="-13"/>
        </w:rPr>
        <w:t xml:space="preserve"> </w:t>
      </w:r>
      <w:r>
        <w:t>results</w:t>
      </w:r>
      <w:r>
        <w:rPr>
          <w:spacing w:val="-13"/>
        </w:rPr>
        <w:t xml:space="preserve"> </w:t>
      </w:r>
      <w:r>
        <w:t>shown</w:t>
      </w:r>
      <w:r>
        <w:rPr>
          <w:spacing w:val="-15"/>
        </w:rPr>
        <w:t xml:space="preserve"> </w:t>
      </w:r>
      <w:r>
        <w:t>below,</w:t>
      </w:r>
      <w:r>
        <w:rPr>
          <w:spacing w:val="-13"/>
        </w:rPr>
        <w:t xml:space="preserve"> </w:t>
      </w:r>
      <w:r>
        <w:t>there</w:t>
      </w:r>
      <w:r>
        <w:rPr>
          <w:spacing w:val="-13"/>
        </w:rPr>
        <w:t xml:space="preserve"> </w:t>
      </w:r>
      <w:r>
        <w:t>is</w:t>
      </w:r>
      <w:r>
        <w:rPr>
          <w:spacing w:val="-14"/>
        </w:rPr>
        <w:t xml:space="preserve"> </w:t>
      </w:r>
      <w:r>
        <w:t>a</w:t>
      </w:r>
      <w:r>
        <w:rPr>
          <w:spacing w:val="-13"/>
        </w:rPr>
        <w:t xml:space="preserve"> </w:t>
      </w:r>
      <w:r>
        <w:t>relationship</w:t>
      </w:r>
      <w:r>
        <w:rPr>
          <w:spacing w:val="-13"/>
        </w:rPr>
        <w:t xml:space="preserve"> </w:t>
      </w:r>
      <w:r>
        <w:t>between</w:t>
      </w:r>
      <w:r>
        <w:rPr>
          <w:spacing w:val="-13"/>
        </w:rPr>
        <w:t xml:space="preserve"> adoption of </w:t>
      </w:r>
      <w:r>
        <w:t>technology</w:t>
      </w:r>
      <w:r>
        <w:rPr>
          <w:spacing w:val="-14"/>
        </w:rPr>
        <w:t xml:space="preserve"> </w:t>
      </w:r>
      <w:r>
        <w:t>and</w:t>
      </w:r>
      <w:r>
        <w:rPr>
          <w:spacing w:val="-14"/>
        </w:rPr>
        <w:t xml:space="preserve"> </w:t>
      </w:r>
      <w:r>
        <w:t xml:space="preserve">customer satisfaction since r is 0.777. Similarly, there is a relationship between product offered and consultancy towards customer satisfaction as r is 0.821 and 0.814, respectively. </w:t>
      </w:r>
    </w:p>
    <w:p w14:paraId="73EDC2A3" w14:textId="77777777" w:rsidR="00510785" w:rsidRDefault="00510785" w:rsidP="00510785">
      <w:pPr>
        <w:pStyle w:val="BodyText"/>
        <w:rPr>
          <w:b/>
          <w:bCs/>
          <w:iCs/>
          <w:sz w:val="18"/>
          <w:szCs w:val="18"/>
        </w:rPr>
      </w:pPr>
    </w:p>
    <w:p w14:paraId="56B66670" w14:textId="4EF94601" w:rsidR="00510785" w:rsidRPr="00510785" w:rsidRDefault="00510785" w:rsidP="00510785">
      <w:pPr>
        <w:pStyle w:val="BodyText"/>
        <w:ind w:left="270" w:right="407"/>
        <w:jc w:val="center"/>
        <w:rPr>
          <w:sz w:val="18"/>
          <w:szCs w:val="18"/>
        </w:rPr>
      </w:pPr>
      <w:r w:rsidRPr="00510785">
        <w:rPr>
          <w:b/>
          <w:sz w:val="18"/>
          <w:szCs w:val="18"/>
        </w:rPr>
        <w:t xml:space="preserve">Table 6. </w:t>
      </w:r>
      <w:r w:rsidRPr="00510785">
        <w:rPr>
          <w:sz w:val="18"/>
          <w:szCs w:val="18"/>
        </w:rPr>
        <w:t>Result of Pearson Correlation Analysis</w:t>
      </w:r>
    </w:p>
    <w:tbl>
      <w:tblPr>
        <w:tblW w:w="65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887"/>
        <w:gridCol w:w="958"/>
        <w:gridCol w:w="749"/>
        <w:gridCol w:w="770"/>
        <w:gridCol w:w="921"/>
        <w:gridCol w:w="1106"/>
      </w:tblGrid>
      <w:tr w:rsidR="00510785" w14:paraId="342CF470" w14:textId="77777777" w:rsidTr="00510785">
        <w:trPr>
          <w:trHeight w:val="310"/>
        </w:trPr>
        <w:tc>
          <w:tcPr>
            <w:tcW w:w="6521" w:type="dxa"/>
            <w:gridSpan w:val="7"/>
            <w:tcBorders>
              <w:top w:val="single" w:sz="4" w:space="0" w:color="000000"/>
              <w:left w:val="single" w:sz="4" w:space="0" w:color="000000"/>
              <w:bottom w:val="single" w:sz="4" w:space="0" w:color="000000"/>
              <w:right w:val="single" w:sz="4" w:space="0" w:color="000000"/>
            </w:tcBorders>
            <w:hideMark/>
          </w:tcPr>
          <w:p w14:paraId="2E84B553" w14:textId="77777777" w:rsidR="00510785" w:rsidRPr="00510785" w:rsidRDefault="00510785">
            <w:pPr>
              <w:pStyle w:val="TableParagraph"/>
              <w:ind w:left="107"/>
              <w:rPr>
                <w:b/>
                <w:sz w:val="18"/>
                <w:szCs w:val="18"/>
              </w:rPr>
            </w:pPr>
            <w:r w:rsidRPr="00510785">
              <w:rPr>
                <w:b/>
                <w:sz w:val="18"/>
                <w:szCs w:val="18"/>
              </w:rPr>
              <w:t>Correlations</w:t>
            </w:r>
          </w:p>
        </w:tc>
      </w:tr>
      <w:tr w:rsidR="00510785" w14:paraId="2EB8CD05" w14:textId="77777777" w:rsidTr="00510785">
        <w:trPr>
          <w:trHeight w:val="914"/>
        </w:trPr>
        <w:tc>
          <w:tcPr>
            <w:tcW w:w="1134" w:type="dxa"/>
            <w:tcBorders>
              <w:top w:val="single" w:sz="4" w:space="0" w:color="000000"/>
              <w:left w:val="single" w:sz="4" w:space="0" w:color="000000"/>
              <w:bottom w:val="single" w:sz="4" w:space="0" w:color="000000"/>
              <w:right w:val="single" w:sz="4" w:space="0" w:color="000000"/>
            </w:tcBorders>
          </w:tcPr>
          <w:p w14:paraId="3BAA4ADF" w14:textId="77777777" w:rsidR="00510785" w:rsidRPr="00510785" w:rsidRDefault="00510785">
            <w:pPr>
              <w:pStyle w:val="TableParagraph"/>
              <w:spacing w:line="240" w:lineRule="auto"/>
              <w:ind w:left="0"/>
              <w:rPr>
                <w:sz w:val="18"/>
                <w:szCs w:val="18"/>
              </w:rPr>
            </w:pPr>
          </w:p>
        </w:tc>
        <w:tc>
          <w:tcPr>
            <w:tcW w:w="886" w:type="dxa"/>
            <w:tcBorders>
              <w:top w:val="single" w:sz="4" w:space="0" w:color="000000"/>
              <w:left w:val="single" w:sz="4" w:space="0" w:color="000000"/>
              <w:bottom w:val="single" w:sz="4" w:space="0" w:color="000000"/>
              <w:right w:val="single" w:sz="4" w:space="0" w:color="000000"/>
            </w:tcBorders>
            <w:hideMark/>
          </w:tcPr>
          <w:p w14:paraId="0F073338" w14:textId="77777777" w:rsidR="00510785" w:rsidRPr="00510785" w:rsidRDefault="00510785">
            <w:pPr>
              <w:pStyle w:val="TableParagraph"/>
              <w:spacing w:before="1" w:line="240" w:lineRule="auto"/>
              <w:ind w:left="108"/>
              <w:rPr>
                <w:sz w:val="18"/>
                <w:szCs w:val="18"/>
              </w:rPr>
            </w:pPr>
            <w:r w:rsidRPr="00510785">
              <w:rPr>
                <w:sz w:val="18"/>
                <w:szCs w:val="18"/>
              </w:rPr>
              <w:t>Mean</w:t>
            </w:r>
          </w:p>
        </w:tc>
        <w:tc>
          <w:tcPr>
            <w:tcW w:w="957" w:type="dxa"/>
            <w:tcBorders>
              <w:top w:val="single" w:sz="4" w:space="0" w:color="000000"/>
              <w:left w:val="single" w:sz="4" w:space="0" w:color="000000"/>
              <w:bottom w:val="single" w:sz="4" w:space="0" w:color="000000"/>
              <w:right w:val="single" w:sz="4" w:space="0" w:color="000000"/>
            </w:tcBorders>
            <w:hideMark/>
          </w:tcPr>
          <w:p w14:paraId="22449588" w14:textId="77777777" w:rsidR="00510785" w:rsidRPr="00510785" w:rsidRDefault="00510785">
            <w:pPr>
              <w:pStyle w:val="TableParagraph"/>
              <w:spacing w:before="6" w:line="274" w:lineRule="exact"/>
              <w:ind w:left="108" w:right="177"/>
              <w:rPr>
                <w:sz w:val="18"/>
                <w:szCs w:val="18"/>
              </w:rPr>
            </w:pPr>
            <w:r w:rsidRPr="00510785">
              <w:rPr>
                <w:sz w:val="18"/>
                <w:szCs w:val="18"/>
              </w:rPr>
              <w:t>Std. Deviation</w:t>
            </w:r>
          </w:p>
        </w:tc>
        <w:tc>
          <w:tcPr>
            <w:tcW w:w="749" w:type="dxa"/>
            <w:tcBorders>
              <w:top w:val="single" w:sz="4" w:space="0" w:color="000000"/>
              <w:left w:val="single" w:sz="4" w:space="0" w:color="000000"/>
              <w:bottom w:val="single" w:sz="4" w:space="0" w:color="000000"/>
              <w:right w:val="single" w:sz="4" w:space="0" w:color="000000"/>
            </w:tcBorders>
            <w:hideMark/>
          </w:tcPr>
          <w:p w14:paraId="3C293FFF" w14:textId="77777777" w:rsidR="00510785" w:rsidRPr="00510785" w:rsidRDefault="00510785">
            <w:pPr>
              <w:pStyle w:val="TableParagraph"/>
              <w:spacing w:before="1" w:line="240" w:lineRule="auto"/>
              <w:ind w:left="107"/>
              <w:rPr>
                <w:sz w:val="18"/>
                <w:szCs w:val="18"/>
              </w:rPr>
            </w:pPr>
            <w:r w:rsidRPr="00510785">
              <w:rPr>
                <w:sz w:val="18"/>
                <w:szCs w:val="18"/>
              </w:rPr>
              <w:t>Technology</w:t>
            </w:r>
          </w:p>
        </w:tc>
        <w:tc>
          <w:tcPr>
            <w:tcW w:w="770" w:type="dxa"/>
            <w:tcBorders>
              <w:top w:val="single" w:sz="4" w:space="0" w:color="000000"/>
              <w:left w:val="single" w:sz="4" w:space="0" w:color="000000"/>
              <w:bottom w:val="single" w:sz="4" w:space="0" w:color="000000"/>
              <w:right w:val="single" w:sz="4" w:space="0" w:color="000000"/>
            </w:tcBorders>
            <w:hideMark/>
          </w:tcPr>
          <w:p w14:paraId="1588FF51" w14:textId="77777777" w:rsidR="00510785" w:rsidRPr="00510785" w:rsidRDefault="00510785">
            <w:pPr>
              <w:pStyle w:val="TableParagraph"/>
              <w:spacing w:before="6" w:line="274" w:lineRule="exact"/>
              <w:ind w:left="108" w:right="127"/>
              <w:rPr>
                <w:sz w:val="18"/>
                <w:szCs w:val="18"/>
              </w:rPr>
            </w:pPr>
            <w:r w:rsidRPr="00510785">
              <w:rPr>
                <w:sz w:val="18"/>
                <w:szCs w:val="18"/>
              </w:rPr>
              <w:t>Product Offerings</w:t>
            </w:r>
          </w:p>
        </w:tc>
        <w:tc>
          <w:tcPr>
            <w:tcW w:w="920" w:type="dxa"/>
            <w:tcBorders>
              <w:top w:val="single" w:sz="4" w:space="0" w:color="000000"/>
              <w:left w:val="single" w:sz="4" w:space="0" w:color="000000"/>
              <w:bottom w:val="single" w:sz="4" w:space="0" w:color="000000"/>
              <w:right w:val="single" w:sz="4" w:space="0" w:color="000000"/>
            </w:tcBorders>
            <w:hideMark/>
          </w:tcPr>
          <w:p w14:paraId="43B78C8F" w14:textId="77777777" w:rsidR="00510785" w:rsidRPr="00510785" w:rsidRDefault="00510785">
            <w:pPr>
              <w:pStyle w:val="TableParagraph"/>
              <w:spacing w:before="1" w:line="240" w:lineRule="auto"/>
              <w:ind w:left="108"/>
              <w:rPr>
                <w:sz w:val="18"/>
                <w:szCs w:val="18"/>
              </w:rPr>
            </w:pPr>
            <w:r w:rsidRPr="00510785">
              <w:rPr>
                <w:sz w:val="18"/>
                <w:szCs w:val="18"/>
              </w:rPr>
              <w:t>Consultancy</w:t>
            </w:r>
          </w:p>
        </w:tc>
        <w:tc>
          <w:tcPr>
            <w:tcW w:w="1105" w:type="dxa"/>
            <w:tcBorders>
              <w:top w:val="single" w:sz="4" w:space="0" w:color="000000"/>
              <w:left w:val="single" w:sz="4" w:space="0" w:color="000000"/>
              <w:bottom w:val="single" w:sz="4" w:space="0" w:color="000000"/>
              <w:right w:val="single" w:sz="4" w:space="0" w:color="000000"/>
            </w:tcBorders>
            <w:hideMark/>
          </w:tcPr>
          <w:p w14:paraId="73982463" w14:textId="77777777" w:rsidR="00510785" w:rsidRPr="00510785" w:rsidRDefault="00510785">
            <w:pPr>
              <w:pStyle w:val="TableParagraph"/>
              <w:spacing w:before="6" w:line="274" w:lineRule="exact"/>
              <w:ind w:left="109" w:right="78"/>
              <w:rPr>
                <w:sz w:val="18"/>
                <w:szCs w:val="18"/>
              </w:rPr>
            </w:pPr>
            <w:r w:rsidRPr="00510785">
              <w:rPr>
                <w:sz w:val="18"/>
                <w:szCs w:val="18"/>
              </w:rPr>
              <w:t>Customer satisfaction</w:t>
            </w:r>
          </w:p>
        </w:tc>
      </w:tr>
      <w:tr w:rsidR="00510785" w14:paraId="6ABD4DAA" w14:textId="77777777" w:rsidTr="00510785">
        <w:trPr>
          <w:trHeight w:val="309"/>
        </w:trPr>
        <w:tc>
          <w:tcPr>
            <w:tcW w:w="1134" w:type="dxa"/>
            <w:tcBorders>
              <w:top w:val="single" w:sz="4" w:space="0" w:color="000000"/>
              <w:left w:val="single" w:sz="4" w:space="0" w:color="000000"/>
              <w:bottom w:val="single" w:sz="4" w:space="0" w:color="000000"/>
              <w:right w:val="single" w:sz="4" w:space="0" w:color="000000"/>
            </w:tcBorders>
            <w:hideMark/>
          </w:tcPr>
          <w:p w14:paraId="029E17C1" w14:textId="77777777" w:rsidR="00510785" w:rsidRPr="00510785" w:rsidRDefault="00510785">
            <w:pPr>
              <w:pStyle w:val="TableParagraph"/>
              <w:ind w:left="107"/>
              <w:rPr>
                <w:sz w:val="18"/>
                <w:szCs w:val="18"/>
              </w:rPr>
            </w:pPr>
            <w:r w:rsidRPr="00510785">
              <w:rPr>
                <w:sz w:val="18"/>
                <w:szCs w:val="18"/>
              </w:rPr>
              <w:t>Adoption of Technology</w:t>
            </w:r>
          </w:p>
        </w:tc>
        <w:tc>
          <w:tcPr>
            <w:tcW w:w="886" w:type="dxa"/>
            <w:tcBorders>
              <w:top w:val="single" w:sz="4" w:space="0" w:color="000000"/>
              <w:left w:val="single" w:sz="4" w:space="0" w:color="000000"/>
              <w:bottom w:val="single" w:sz="4" w:space="0" w:color="000000"/>
              <w:right w:val="single" w:sz="4" w:space="0" w:color="000000"/>
            </w:tcBorders>
            <w:hideMark/>
          </w:tcPr>
          <w:p w14:paraId="0601FFEA" w14:textId="77777777" w:rsidR="00510785" w:rsidRPr="00510785" w:rsidRDefault="00510785">
            <w:pPr>
              <w:pStyle w:val="TableParagraph"/>
              <w:rPr>
                <w:sz w:val="18"/>
                <w:szCs w:val="18"/>
              </w:rPr>
            </w:pPr>
            <w:r w:rsidRPr="00510785">
              <w:rPr>
                <w:sz w:val="18"/>
                <w:szCs w:val="18"/>
              </w:rPr>
              <w:t>20.1800</w:t>
            </w:r>
          </w:p>
        </w:tc>
        <w:tc>
          <w:tcPr>
            <w:tcW w:w="957" w:type="dxa"/>
            <w:tcBorders>
              <w:top w:val="single" w:sz="4" w:space="0" w:color="000000"/>
              <w:left w:val="single" w:sz="4" w:space="0" w:color="000000"/>
              <w:bottom w:val="single" w:sz="4" w:space="0" w:color="000000"/>
              <w:right w:val="single" w:sz="4" w:space="0" w:color="000000"/>
            </w:tcBorders>
            <w:hideMark/>
          </w:tcPr>
          <w:p w14:paraId="15C35B5A" w14:textId="77777777" w:rsidR="00510785" w:rsidRPr="00510785" w:rsidRDefault="00510785">
            <w:pPr>
              <w:pStyle w:val="TableParagraph"/>
              <w:rPr>
                <w:sz w:val="18"/>
                <w:szCs w:val="18"/>
              </w:rPr>
            </w:pPr>
            <w:r w:rsidRPr="00510785">
              <w:rPr>
                <w:sz w:val="18"/>
                <w:szCs w:val="18"/>
              </w:rPr>
              <w:t>3.43505</w:t>
            </w:r>
          </w:p>
        </w:tc>
        <w:tc>
          <w:tcPr>
            <w:tcW w:w="749" w:type="dxa"/>
            <w:tcBorders>
              <w:top w:val="single" w:sz="4" w:space="0" w:color="000000"/>
              <w:left w:val="single" w:sz="4" w:space="0" w:color="000000"/>
              <w:bottom w:val="single" w:sz="4" w:space="0" w:color="000000"/>
              <w:right w:val="single" w:sz="4" w:space="0" w:color="000000"/>
            </w:tcBorders>
            <w:hideMark/>
          </w:tcPr>
          <w:p w14:paraId="02943DAB" w14:textId="77777777" w:rsidR="00510785" w:rsidRPr="00510785" w:rsidRDefault="00510785">
            <w:pPr>
              <w:pStyle w:val="TableParagraph"/>
              <w:ind w:left="107"/>
              <w:rPr>
                <w:sz w:val="18"/>
                <w:szCs w:val="18"/>
              </w:rPr>
            </w:pPr>
            <w:r w:rsidRPr="00510785">
              <w:rPr>
                <w:sz w:val="18"/>
                <w:szCs w:val="18"/>
              </w:rPr>
              <w:t>1</w:t>
            </w:r>
          </w:p>
        </w:tc>
        <w:tc>
          <w:tcPr>
            <w:tcW w:w="770" w:type="dxa"/>
            <w:tcBorders>
              <w:top w:val="single" w:sz="4" w:space="0" w:color="000000"/>
              <w:left w:val="single" w:sz="4" w:space="0" w:color="000000"/>
              <w:bottom w:val="single" w:sz="4" w:space="0" w:color="000000"/>
              <w:right w:val="single" w:sz="4" w:space="0" w:color="000000"/>
            </w:tcBorders>
            <w:hideMark/>
          </w:tcPr>
          <w:p w14:paraId="0C0E7346" w14:textId="77777777" w:rsidR="00510785" w:rsidRPr="00510785" w:rsidRDefault="00510785">
            <w:pPr>
              <w:pStyle w:val="TableParagraph"/>
              <w:rPr>
                <w:sz w:val="18"/>
                <w:szCs w:val="18"/>
              </w:rPr>
            </w:pPr>
            <w:r w:rsidRPr="00510785">
              <w:rPr>
                <w:sz w:val="18"/>
                <w:szCs w:val="18"/>
              </w:rPr>
              <w:t>.864</w:t>
            </w:r>
            <w:r w:rsidRPr="00510785">
              <w:rPr>
                <w:sz w:val="18"/>
                <w:szCs w:val="18"/>
                <w:vertAlign w:val="superscript"/>
              </w:rPr>
              <w:t>**</w:t>
            </w:r>
          </w:p>
        </w:tc>
        <w:tc>
          <w:tcPr>
            <w:tcW w:w="920" w:type="dxa"/>
            <w:tcBorders>
              <w:top w:val="single" w:sz="4" w:space="0" w:color="000000"/>
              <w:left w:val="single" w:sz="4" w:space="0" w:color="000000"/>
              <w:bottom w:val="single" w:sz="4" w:space="0" w:color="000000"/>
              <w:right w:val="single" w:sz="4" w:space="0" w:color="000000"/>
            </w:tcBorders>
            <w:hideMark/>
          </w:tcPr>
          <w:p w14:paraId="2168EB5C" w14:textId="77777777" w:rsidR="00510785" w:rsidRPr="00510785" w:rsidRDefault="00510785">
            <w:pPr>
              <w:pStyle w:val="TableParagraph"/>
              <w:rPr>
                <w:sz w:val="18"/>
                <w:szCs w:val="18"/>
              </w:rPr>
            </w:pPr>
            <w:r w:rsidRPr="00510785">
              <w:rPr>
                <w:sz w:val="18"/>
                <w:szCs w:val="18"/>
              </w:rPr>
              <w:t>.785</w:t>
            </w:r>
            <w:r w:rsidRPr="00510785">
              <w:rPr>
                <w:sz w:val="18"/>
                <w:szCs w:val="18"/>
                <w:vertAlign w:val="superscript"/>
              </w:rPr>
              <w:t>**</w:t>
            </w:r>
          </w:p>
        </w:tc>
        <w:tc>
          <w:tcPr>
            <w:tcW w:w="1105" w:type="dxa"/>
            <w:tcBorders>
              <w:top w:val="single" w:sz="4" w:space="0" w:color="000000"/>
              <w:left w:val="single" w:sz="4" w:space="0" w:color="000000"/>
              <w:bottom w:val="single" w:sz="4" w:space="0" w:color="000000"/>
              <w:right w:val="single" w:sz="4" w:space="0" w:color="000000"/>
            </w:tcBorders>
            <w:hideMark/>
          </w:tcPr>
          <w:p w14:paraId="5119ED9C" w14:textId="77777777" w:rsidR="00510785" w:rsidRPr="00510785" w:rsidRDefault="00510785">
            <w:pPr>
              <w:pStyle w:val="TableParagraph"/>
              <w:ind w:left="169"/>
              <w:rPr>
                <w:sz w:val="18"/>
                <w:szCs w:val="18"/>
              </w:rPr>
            </w:pPr>
            <w:r w:rsidRPr="00510785">
              <w:rPr>
                <w:sz w:val="18"/>
                <w:szCs w:val="18"/>
              </w:rPr>
              <w:t>.777</w:t>
            </w:r>
            <w:r w:rsidRPr="00510785">
              <w:rPr>
                <w:sz w:val="18"/>
                <w:szCs w:val="18"/>
                <w:vertAlign w:val="superscript"/>
              </w:rPr>
              <w:t>**</w:t>
            </w:r>
          </w:p>
        </w:tc>
      </w:tr>
      <w:tr w:rsidR="00510785" w14:paraId="0F36107D" w14:textId="77777777" w:rsidTr="00510785">
        <w:trPr>
          <w:trHeight w:val="622"/>
        </w:trPr>
        <w:tc>
          <w:tcPr>
            <w:tcW w:w="1134" w:type="dxa"/>
            <w:tcBorders>
              <w:top w:val="single" w:sz="4" w:space="0" w:color="000000"/>
              <w:left w:val="single" w:sz="4" w:space="0" w:color="000000"/>
              <w:bottom w:val="single" w:sz="4" w:space="0" w:color="000000"/>
              <w:right w:val="single" w:sz="4" w:space="0" w:color="000000"/>
            </w:tcBorders>
            <w:hideMark/>
          </w:tcPr>
          <w:p w14:paraId="7B596459" w14:textId="77777777" w:rsidR="00510785" w:rsidRPr="00510785" w:rsidRDefault="00510785">
            <w:pPr>
              <w:pStyle w:val="TableParagraph"/>
              <w:spacing w:line="270" w:lineRule="exact"/>
              <w:ind w:left="107" w:right="412"/>
              <w:rPr>
                <w:sz w:val="18"/>
                <w:szCs w:val="18"/>
              </w:rPr>
            </w:pPr>
            <w:r w:rsidRPr="00510785">
              <w:rPr>
                <w:sz w:val="18"/>
                <w:szCs w:val="18"/>
              </w:rPr>
              <w:t>Product offered</w:t>
            </w:r>
          </w:p>
        </w:tc>
        <w:tc>
          <w:tcPr>
            <w:tcW w:w="886" w:type="dxa"/>
            <w:tcBorders>
              <w:top w:val="single" w:sz="4" w:space="0" w:color="000000"/>
              <w:left w:val="single" w:sz="4" w:space="0" w:color="000000"/>
              <w:bottom w:val="single" w:sz="4" w:space="0" w:color="000000"/>
              <w:right w:val="single" w:sz="4" w:space="0" w:color="000000"/>
            </w:tcBorders>
            <w:hideMark/>
          </w:tcPr>
          <w:p w14:paraId="2F6B9242" w14:textId="77777777" w:rsidR="00510785" w:rsidRPr="00510785" w:rsidRDefault="00510785">
            <w:pPr>
              <w:pStyle w:val="TableParagraph"/>
              <w:spacing w:line="240" w:lineRule="auto"/>
              <w:rPr>
                <w:sz w:val="18"/>
                <w:szCs w:val="18"/>
              </w:rPr>
            </w:pPr>
            <w:r w:rsidRPr="00510785">
              <w:rPr>
                <w:sz w:val="18"/>
                <w:szCs w:val="18"/>
              </w:rPr>
              <w:t>20.2267</w:t>
            </w:r>
          </w:p>
        </w:tc>
        <w:tc>
          <w:tcPr>
            <w:tcW w:w="957" w:type="dxa"/>
            <w:tcBorders>
              <w:top w:val="single" w:sz="4" w:space="0" w:color="000000"/>
              <w:left w:val="single" w:sz="4" w:space="0" w:color="000000"/>
              <w:bottom w:val="single" w:sz="4" w:space="0" w:color="000000"/>
              <w:right w:val="single" w:sz="4" w:space="0" w:color="000000"/>
            </w:tcBorders>
            <w:hideMark/>
          </w:tcPr>
          <w:p w14:paraId="4CD6C56B" w14:textId="77777777" w:rsidR="00510785" w:rsidRPr="00510785" w:rsidRDefault="00510785">
            <w:pPr>
              <w:pStyle w:val="TableParagraph"/>
              <w:spacing w:line="240" w:lineRule="auto"/>
              <w:rPr>
                <w:sz w:val="18"/>
                <w:szCs w:val="18"/>
              </w:rPr>
            </w:pPr>
            <w:r w:rsidRPr="00510785">
              <w:rPr>
                <w:sz w:val="18"/>
                <w:szCs w:val="18"/>
              </w:rPr>
              <w:t>3.61419</w:t>
            </w:r>
          </w:p>
        </w:tc>
        <w:tc>
          <w:tcPr>
            <w:tcW w:w="749" w:type="dxa"/>
            <w:tcBorders>
              <w:top w:val="single" w:sz="4" w:space="0" w:color="000000"/>
              <w:left w:val="single" w:sz="4" w:space="0" w:color="000000"/>
              <w:bottom w:val="single" w:sz="4" w:space="0" w:color="000000"/>
              <w:right w:val="single" w:sz="4" w:space="0" w:color="000000"/>
            </w:tcBorders>
            <w:hideMark/>
          </w:tcPr>
          <w:p w14:paraId="666072BC" w14:textId="77777777" w:rsidR="00510785" w:rsidRPr="00510785" w:rsidRDefault="00510785">
            <w:pPr>
              <w:pStyle w:val="TableParagraph"/>
              <w:spacing w:line="240" w:lineRule="auto"/>
              <w:ind w:left="107"/>
              <w:rPr>
                <w:sz w:val="18"/>
                <w:szCs w:val="18"/>
              </w:rPr>
            </w:pPr>
            <w:r w:rsidRPr="00510785">
              <w:rPr>
                <w:sz w:val="18"/>
                <w:szCs w:val="18"/>
              </w:rPr>
              <w:t>.864</w:t>
            </w:r>
            <w:r w:rsidRPr="00510785">
              <w:rPr>
                <w:sz w:val="18"/>
                <w:szCs w:val="18"/>
                <w:vertAlign w:val="superscript"/>
              </w:rPr>
              <w:t>**</w:t>
            </w:r>
          </w:p>
        </w:tc>
        <w:tc>
          <w:tcPr>
            <w:tcW w:w="770" w:type="dxa"/>
            <w:tcBorders>
              <w:top w:val="single" w:sz="4" w:space="0" w:color="000000"/>
              <w:left w:val="single" w:sz="4" w:space="0" w:color="000000"/>
              <w:bottom w:val="single" w:sz="4" w:space="0" w:color="000000"/>
              <w:right w:val="single" w:sz="4" w:space="0" w:color="000000"/>
            </w:tcBorders>
            <w:hideMark/>
          </w:tcPr>
          <w:p w14:paraId="1D1E8079" w14:textId="77777777" w:rsidR="00510785" w:rsidRPr="00510785" w:rsidRDefault="00510785">
            <w:pPr>
              <w:pStyle w:val="TableParagraph"/>
              <w:spacing w:line="240" w:lineRule="auto"/>
              <w:rPr>
                <w:sz w:val="18"/>
                <w:szCs w:val="18"/>
              </w:rPr>
            </w:pPr>
            <w:r w:rsidRPr="00510785">
              <w:rPr>
                <w:sz w:val="18"/>
                <w:szCs w:val="18"/>
              </w:rPr>
              <w:t>1</w:t>
            </w:r>
          </w:p>
        </w:tc>
        <w:tc>
          <w:tcPr>
            <w:tcW w:w="920" w:type="dxa"/>
            <w:tcBorders>
              <w:top w:val="single" w:sz="4" w:space="0" w:color="000000"/>
              <w:left w:val="single" w:sz="4" w:space="0" w:color="000000"/>
              <w:bottom w:val="single" w:sz="4" w:space="0" w:color="000000"/>
              <w:right w:val="single" w:sz="4" w:space="0" w:color="000000"/>
            </w:tcBorders>
            <w:hideMark/>
          </w:tcPr>
          <w:p w14:paraId="36336432" w14:textId="77777777" w:rsidR="00510785" w:rsidRPr="00510785" w:rsidRDefault="00510785">
            <w:pPr>
              <w:pStyle w:val="TableParagraph"/>
              <w:spacing w:line="240" w:lineRule="auto"/>
              <w:rPr>
                <w:sz w:val="18"/>
                <w:szCs w:val="18"/>
              </w:rPr>
            </w:pPr>
            <w:r w:rsidRPr="00510785">
              <w:rPr>
                <w:sz w:val="18"/>
                <w:szCs w:val="18"/>
              </w:rPr>
              <w:t>.835</w:t>
            </w:r>
            <w:r w:rsidRPr="00510785">
              <w:rPr>
                <w:sz w:val="18"/>
                <w:szCs w:val="18"/>
                <w:vertAlign w:val="superscript"/>
              </w:rPr>
              <w:t>**</w:t>
            </w:r>
          </w:p>
        </w:tc>
        <w:tc>
          <w:tcPr>
            <w:tcW w:w="1105" w:type="dxa"/>
            <w:tcBorders>
              <w:top w:val="single" w:sz="4" w:space="0" w:color="000000"/>
              <w:left w:val="single" w:sz="4" w:space="0" w:color="000000"/>
              <w:bottom w:val="single" w:sz="4" w:space="0" w:color="000000"/>
              <w:right w:val="single" w:sz="4" w:space="0" w:color="000000"/>
            </w:tcBorders>
            <w:hideMark/>
          </w:tcPr>
          <w:p w14:paraId="6C979B84" w14:textId="77777777" w:rsidR="00510785" w:rsidRPr="00510785" w:rsidRDefault="00510785">
            <w:pPr>
              <w:pStyle w:val="TableParagraph"/>
              <w:spacing w:line="240" w:lineRule="auto"/>
              <w:ind w:left="169"/>
              <w:rPr>
                <w:sz w:val="18"/>
                <w:szCs w:val="18"/>
              </w:rPr>
            </w:pPr>
            <w:r w:rsidRPr="00510785">
              <w:rPr>
                <w:sz w:val="18"/>
                <w:szCs w:val="18"/>
              </w:rPr>
              <w:t>.821</w:t>
            </w:r>
            <w:r w:rsidRPr="00510785">
              <w:rPr>
                <w:sz w:val="18"/>
                <w:szCs w:val="18"/>
                <w:vertAlign w:val="superscript"/>
              </w:rPr>
              <w:t>**</w:t>
            </w:r>
          </w:p>
        </w:tc>
      </w:tr>
      <w:tr w:rsidR="00510785" w14:paraId="2BF841A9" w14:textId="77777777" w:rsidTr="00510785">
        <w:trPr>
          <w:trHeight w:val="310"/>
        </w:trPr>
        <w:tc>
          <w:tcPr>
            <w:tcW w:w="1134" w:type="dxa"/>
            <w:tcBorders>
              <w:top w:val="single" w:sz="4" w:space="0" w:color="000000"/>
              <w:left w:val="single" w:sz="4" w:space="0" w:color="000000"/>
              <w:bottom w:val="single" w:sz="4" w:space="0" w:color="000000"/>
              <w:right w:val="single" w:sz="4" w:space="0" w:color="000000"/>
            </w:tcBorders>
            <w:hideMark/>
          </w:tcPr>
          <w:p w14:paraId="282356DD" w14:textId="77777777" w:rsidR="00510785" w:rsidRPr="00510785" w:rsidRDefault="00510785">
            <w:pPr>
              <w:pStyle w:val="TableParagraph"/>
              <w:ind w:left="107"/>
              <w:rPr>
                <w:sz w:val="18"/>
                <w:szCs w:val="18"/>
              </w:rPr>
            </w:pPr>
            <w:r w:rsidRPr="00510785">
              <w:rPr>
                <w:sz w:val="18"/>
                <w:szCs w:val="18"/>
              </w:rPr>
              <w:t>Consultancy</w:t>
            </w:r>
          </w:p>
        </w:tc>
        <w:tc>
          <w:tcPr>
            <w:tcW w:w="886" w:type="dxa"/>
            <w:tcBorders>
              <w:top w:val="single" w:sz="4" w:space="0" w:color="000000"/>
              <w:left w:val="single" w:sz="4" w:space="0" w:color="000000"/>
              <w:bottom w:val="single" w:sz="4" w:space="0" w:color="000000"/>
              <w:right w:val="single" w:sz="4" w:space="0" w:color="000000"/>
            </w:tcBorders>
            <w:hideMark/>
          </w:tcPr>
          <w:p w14:paraId="6EC832C0" w14:textId="77777777" w:rsidR="00510785" w:rsidRPr="00510785" w:rsidRDefault="00510785">
            <w:pPr>
              <w:pStyle w:val="TableParagraph"/>
              <w:rPr>
                <w:sz w:val="18"/>
                <w:szCs w:val="18"/>
              </w:rPr>
            </w:pPr>
            <w:r w:rsidRPr="00510785">
              <w:rPr>
                <w:sz w:val="18"/>
                <w:szCs w:val="18"/>
              </w:rPr>
              <w:t>19.7600</w:t>
            </w:r>
          </w:p>
        </w:tc>
        <w:tc>
          <w:tcPr>
            <w:tcW w:w="957" w:type="dxa"/>
            <w:tcBorders>
              <w:top w:val="single" w:sz="4" w:space="0" w:color="000000"/>
              <w:left w:val="single" w:sz="4" w:space="0" w:color="000000"/>
              <w:bottom w:val="single" w:sz="4" w:space="0" w:color="000000"/>
              <w:right w:val="single" w:sz="4" w:space="0" w:color="000000"/>
            </w:tcBorders>
            <w:hideMark/>
          </w:tcPr>
          <w:p w14:paraId="114FE11F" w14:textId="77777777" w:rsidR="00510785" w:rsidRPr="00510785" w:rsidRDefault="00510785">
            <w:pPr>
              <w:pStyle w:val="TableParagraph"/>
              <w:rPr>
                <w:sz w:val="18"/>
                <w:szCs w:val="18"/>
              </w:rPr>
            </w:pPr>
            <w:r w:rsidRPr="00510785">
              <w:rPr>
                <w:sz w:val="18"/>
                <w:szCs w:val="18"/>
              </w:rPr>
              <w:t>3.49627</w:t>
            </w:r>
          </w:p>
        </w:tc>
        <w:tc>
          <w:tcPr>
            <w:tcW w:w="749" w:type="dxa"/>
            <w:tcBorders>
              <w:top w:val="single" w:sz="4" w:space="0" w:color="000000"/>
              <w:left w:val="single" w:sz="4" w:space="0" w:color="000000"/>
              <w:bottom w:val="single" w:sz="4" w:space="0" w:color="000000"/>
              <w:right w:val="single" w:sz="4" w:space="0" w:color="000000"/>
            </w:tcBorders>
            <w:hideMark/>
          </w:tcPr>
          <w:p w14:paraId="407C0EFF" w14:textId="77777777" w:rsidR="00510785" w:rsidRPr="00510785" w:rsidRDefault="00510785">
            <w:pPr>
              <w:pStyle w:val="TableParagraph"/>
              <w:ind w:left="107"/>
              <w:rPr>
                <w:sz w:val="18"/>
                <w:szCs w:val="18"/>
              </w:rPr>
            </w:pPr>
            <w:r w:rsidRPr="00510785">
              <w:rPr>
                <w:sz w:val="18"/>
                <w:szCs w:val="18"/>
              </w:rPr>
              <w:t>.785</w:t>
            </w:r>
            <w:r w:rsidRPr="00510785">
              <w:rPr>
                <w:sz w:val="18"/>
                <w:szCs w:val="18"/>
                <w:vertAlign w:val="superscript"/>
              </w:rPr>
              <w:t>**</w:t>
            </w:r>
          </w:p>
        </w:tc>
        <w:tc>
          <w:tcPr>
            <w:tcW w:w="770" w:type="dxa"/>
            <w:tcBorders>
              <w:top w:val="single" w:sz="4" w:space="0" w:color="000000"/>
              <w:left w:val="single" w:sz="4" w:space="0" w:color="000000"/>
              <w:bottom w:val="single" w:sz="4" w:space="0" w:color="000000"/>
              <w:right w:val="single" w:sz="4" w:space="0" w:color="000000"/>
            </w:tcBorders>
            <w:hideMark/>
          </w:tcPr>
          <w:p w14:paraId="725810F8" w14:textId="77777777" w:rsidR="00510785" w:rsidRPr="00510785" w:rsidRDefault="00510785">
            <w:pPr>
              <w:pStyle w:val="TableParagraph"/>
              <w:rPr>
                <w:sz w:val="18"/>
                <w:szCs w:val="18"/>
              </w:rPr>
            </w:pPr>
            <w:r w:rsidRPr="00510785">
              <w:rPr>
                <w:sz w:val="18"/>
                <w:szCs w:val="18"/>
              </w:rPr>
              <w:t>.835</w:t>
            </w:r>
            <w:r w:rsidRPr="00510785">
              <w:rPr>
                <w:sz w:val="18"/>
                <w:szCs w:val="18"/>
                <w:vertAlign w:val="superscript"/>
              </w:rPr>
              <w:t>**</w:t>
            </w:r>
          </w:p>
        </w:tc>
        <w:tc>
          <w:tcPr>
            <w:tcW w:w="920" w:type="dxa"/>
            <w:tcBorders>
              <w:top w:val="single" w:sz="4" w:space="0" w:color="000000"/>
              <w:left w:val="single" w:sz="4" w:space="0" w:color="000000"/>
              <w:bottom w:val="single" w:sz="4" w:space="0" w:color="000000"/>
              <w:right w:val="single" w:sz="4" w:space="0" w:color="000000"/>
            </w:tcBorders>
            <w:hideMark/>
          </w:tcPr>
          <w:p w14:paraId="378FED1C" w14:textId="77777777" w:rsidR="00510785" w:rsidRPr="00510785" w:rsidRDefault="00510785">
            <w:pPr>
              <w:pStyle w:val="TableParagraph"/>
              <w:rPr>
                <w:sz w:val="18"/>
                <w:szCs w:val="18"/>
              </w:rPr>
            </w:pPr>
            <w:r w:rsidRPr="00510785">
              <w:rPr>
                <w:sz w:val="18"/>
                <w:szCs w:val="18"/>
              </w:rPr>
              <w:t>1</w:t>
            </w:r>
          </w:p>
        </w:tc>
        <w:tc>
          <w:tcPr>
            <w:tcW w:w="1105" w:type="dxa"/>
            <w:tcBorders>
              <w:top w:val="single" w:sz="4" w:space="0" w:color="000000"/>
              <w:left w:val="single" w:sz="4" w:space="0" w:color="000000"/>
              <w:bottom w:val="single" w:sz="4" w:space="0" w:color="000000"/>
              <w:right w:val="single" w:sz="4" w:space="0" w:color="000000"/>
            </w:tcBorders>
            <w:hideMark/>
          </w:tcPr>
          <w:p w14:paraId="27881E1F" w14:textId="77777777" w:rsidR="00510785" w:rsidRPr="00510785" w:rsidRDefault="00510785">
            <w:pPr>
              <w:pStyle w:val="TableParagraph"/>
              <w:ind w:left="169"/>
              <w:rPr>
                <w:sz w:val="18"/>
                <w:szCs w:val="18"/>
              </w:rPr>
            </w:pPr>
            <w:r w:rsidRPr="00510785">
              <w:rPr>
                <w:sz w:val="18"/>
                <w:szCs w:val="18"/>
              </w:rPr>
              <w:t>.814</w:t>
            </w:r>
            <w:r w:rsidRPr="00510785">
              <w:rPr>
                <w:sz w:val="18"/>
                <w:szCs w:val="18"/>
                <w:vertAlign w:val="superscript"/>
              </w:rPr>
              <w:t>**</w:t>
            </w:r>
          </w:p>
        </w:tc>
      </w:tr>
      <w:tr w:rsidR="00510785" w14:paraId="79968AC5" w14:textId="77777777" w:rsidTr="00510785">
        <w:trPr>
          <w:trHeight w:val="623"/>
        </w:trPr>
        <w:tc>
          <w:tcPr>
            <w:tcW w:w="1134" w:type="dxa"/>
            <w:tcBorders>
              <w:top w:val="single" w:sz="4" w:space="0" w:color="000000"/>
              <w:left w:val="single" w:sz="4" w:space="0" w:color="000000"/>
              <w:bottom w:val="single" w:sz="4" w:space="0" w:color="000000"/>
              <w:right w:val="single" w:sz="4" w:space="0" w:color="000000"/>
            </w:tcBorders>
            <w:hideMark/>
          </w:tcPr>
          <w:p w14:paraId="6DFBC549" w14:textId="77777777" w:rsidR="00510785" w:rsidRPr="00510785" w:rsidRDefault="00510785">
            <w:pPr>
              <w:pStyle w:val="TableParagraph"/>
              <w:spacing w:before="1" w:line="270" w:lineRule="exact"/>
              <w:ind w:left="107" w:right="186"/>
              <w:rPr>
                <w:sz w:val="18"/>
                <w:szCs w:val="18"/>
              </w:rPr>
            </w:pPr>
            <w:r w:rsidRPr="00510785">
              <w:rPr>
                <w:sz w:val="18"/>
                <w:szCs w:val="18"/>
              </w:rPr>
              <w:t>Customer satisfaction</w:t>
            </w:r>
          </w:p>
        </w:tc>
        <w:tc>
          <w:tcPr>
            <w:tcW w:w="886" w:type="dxa"/>
            <w:tcBorders>
              <w:top w:val="single" w:sz="4" w:space="0" w:color="000000"/>
              <w:left w:val="single" w:sz="4" w:space="0" w:color="000000"/>
              <w:bottom w:val="single" w:sz="4" w:space="0" w:color="000000"/>
              <w:right w:val="single" w:sz="4" w:space="0" w:color="000000"/>
            </w:tcBorders>
            <w:hideMark/>
          </w:tcPr>
          <w:p w14:paraId="6ECC7A00" w14:textId="77777777" w:rsidR="00510785" w:rsidRPr="00510785" w:rsidRDefault="00510785">
            <w:pPr>
              <w:pStyle w:val="TableParagraph"/>
              <w:spacing w:before="1" w:line="240" w:lineRule="auto"/>
              <w:rPr>
                <w:sz w:val="18"/>
                <w:szCs w:val="18"/>
              </w:rPr>
            </w:pPr>
            <w:r w:rsidRPr="00510785">
              <w:rPr>
                <w:sz w:val="18"/>
                <w:szCs w:val="18"/>
              </w:rPr>
              <w:t>19.8133</w:t>
            </w:r>
          </w:p>
        </w:tc>
        <w:tc>
          <w:tcPr>
            <w:tcW w:w="957" w:type="dxa"/>
            <w:tcBorders>
              <w:top w:val="single" w:sz="4" w:space="0" w:color="000000"/>
              <w:left w:val="single" w:sz="4" w:space="0" w:color="000000"/>
              <w:bottom w:val="single" w:sz="4" w:space="0" w:color="000000"/>
              <w:right w:val="single" w:sz="4" w:space="0" w:color="000000"/>
            </w:tcBorders>
            <w:hideMark/>
          </w:tcPr>
          <w:p w14:paraId="35715533" w14:textId="77777777" w:rsidR="00510785" w:rsidRPr="00510785" w:rsidRDefault="00510785">
            <w:pPr>
              <w:pStyle w:val="TableParagraph"/>
              <w:spacing w:before="1" w:line="240" w:lineRule="auto"/>
              <w:rPr>
                <w:sz w:val="18"/>
                <w:szCs w:val="18"/>
              </w:rPr>
            </w:pPr>
            <w:r w:rsidRPr="00510785">
              <w:rPr>
                <w:sz w:val="18"/>
                <w:szCs w:val="18"/>
              </w:rPr>
              <w:t>3.65158</w:t>
            </w:r>
          </w:p>
        </w:tc>
        <w:tc>
          <w:tcPr>
            <w:tcW w:w="749" w:type="dxa"/>
            <w:tcBorders>
              <w:top w:val="single" w:sz="4" w:space="0" w:color="000000"/>
              <w:left w:val="single" w:sz="4" w:space="0" w:color="000000"/>
              <w:bottom w:val="single" w:sz="4" w:space="0" w:color="000000"/>
              <w:right w:val="single" w:sz="4" w:space="0" w:color="000000"/>
            </w:tcBorders>
            <w:hideMark/>
          </w:tcPr>
          <w:p w14:paraId="57DE6177" w14:textId="77777777" w:rsidR="00510785" w:rsidRPr="00510785" w:rsidRDefault="00510785">
            <w:pPr>
              <w:pStyle w:val="TableParagraph"/>
              <w:spacing w:before="1" w:line="240" w:lineRule="auto"/>
              <w:ind w:left="107"/>
              <w:rPr>
                <w:sz w:val="18"/>
                <w:szCs w:val="18"/>
              </w:rPr>
            </w:pPr>
            <w:r w:rsidRPr="00510785">
              <w:rPr>
                <w:sz w:val="18"/>
                <w:szCs w:val="18"/>
              </w:rPr>
              <w:t>.777</w:t>
            </w:r>
            <w:r w:rsidRPr="00510785">
              <w:rPr>
                <w:sz w:val="18"/>
                <w:szCs w:val="18"/>
                <w:vertAlign w:val="superscript"/>
              </w:rPr>
              <w:t>**</w:t>
            </w:r>
          </w:p>
        </w:tc>
        <w:tc>
          <w:tcPr>
            <w:tcW w:w="770" w:type="dxa"/>
            <w:tcBorders>
              <w:top w:val="single" w:sz="4" w:space="0" w:color="000000"/>
              <w:left w:val="single" w:sz="4" w:space="0" w:color="000000"/>
              <w:bottom w:val="single" w:sz="4" w:space="0" w:color="000000"/>
              <w:right w:val="single" w:sz="4" w:space="0" w:color="000000"/>
            </w:tcBorders>
            <w:hideMark/>
          </w:tcPr>
          <w:p w14:paraId="094DE734" w14:textId="77777777" w:rsidR="00510785" w:rsidRPr="00510785" w:rsidRDefault="00510785">
            <w:pPr>
              <w:pStyle w:val="TableParagraph"/>
              <w:spacing w:before="1" w:line="240" w:lineRule="auto"/>
              <w:rPr>
                <w:sz w:val="18"/>
                <w:szCs w:val="18"/>
              </w:rPr>
            </w:pPr>
            <w:r w:rsidRPr="00510785">
              <w:rPr>
                <w:sz w:val="18"/>
                <w:szCs w:val="18"/>
              </w:rPr>
              <w:t>.821</w:t>
            </w:r>
            <w:r w:rsidRPr="00510785">
              <w:rPr>
                <w:sz w:val="18"/>
                <w:szCs w:val="18"/>
                <w:vertAlign w:val="superscript"/>
              </w:rPr>
              <w:t>**</w:t>
            </w:r>
          </w:p>
        </w:tc>
        <w:tc>
          <w:tcPr>
            <w:tcW w:w="920" w:type="dxa"/>
            <w:tcBorders>
              <w:top w:val="single" w:sz="4" w:space="0" w:color="000000"/>
              <w:left w:val="single" w:sz="4" w:space="0" w:color="000000"/>
              <w:bottom w:val="single" w:sz="4" w:space="0" w:color="000000"/>
              <w:right w:val="single" w:sz="4" w:space="0" w:color="000000"/>
            </w:tcBorders>
            <w:hideMark/>
          </w:tcPr>
          <w:p w14:paraId="0CAB689F" w14:textId="77777777" w:rsidR="00510785" w:rsidRPr="00510785" w:rsidRDefault="00510785">
            <w:pPr>
              <w:pStyle w:val="TableParagraph"/>
              <w:spacing w:before="1" w:line="240" w:lineRule="auto"/>
              <w:rPr>
                <w:sz w:val="18"/>
                <w:szCs w:val="18"/>
              </w:rPr>
            </w:pPr>
            <w:r w:rsidRPr="00510785">
              <w:rPr>
                <w:sz w:val="18"/>
                <w:szCs w:val="18"/>
              </w:rPr>
              <w:t>.814</w:t>
            </w:r>
            <w:r w:rsidRPr="00510785">
              <w:rPr>
                <w:sz w:val="18"/>
                <w:szCs w:val="18"/>
                <w:vertAlign w:val="superscript"/>
              </w:rPr>
              <w:t>**</w:t>
            </w:r>
          </w:p>
        </w:tc>
        <w:tc>
          <w:tcPr>
            <w:tcW w:w="1105" w:type="dxa"/>
            <w:tcBorders>
              <w:top w:val="single" w:sz="4" w:space="0" w:color="000000"/>
              <w:left w:val="single" w:sz="4" w:space="0" w:color="000000"/>
              <w:bottom w:val="single" w:sz="4" w:space="0" w:color="000000"/>
              <w:right w:val="single" w:sz="4" w:space="0" w:color="000000"/>
            </w:tcBorders>
            <w:hideMark/>
          </w:tcPr>
          <w:p w14:paraId="26D94E1E" w14:textId="77777777" w:rsidR="00510785" w:rsidRPr="00510785" w:rsidRDefault="00510785">
            <w:pPr>
              <w:pStyle w:val="TableParagraph"/>
              <w:spacing w:before="1" w:line="240" w:lineRule="auto"/>
              <w:ind w:left="169"/>
              <w:rPr>
                <w:sz w:val="18"/>
                <w:szCs w:val="18"/>
              </w:rPr>
            </w:pPr>
            <w:r w:rsidRPr="00510785">
              <w:rPr>
                <w:sz w:val="18"/>
                <w:szCs w:val="18"/>
              </w:rPr>
              <w:t>1</w:t>
            </w:r>
          </w:p>
        </w:tc>
      </w:tr>
      <w:tr w:rsidR="00510785" w14:paraId="5821BCE6" w14:textId="77777777" w:rsidTr="00510785">
        <w:trPr>
          <w:trHeight w:val="310"/>
        </w:trPr>
        <w:tc>
          <w:tcPr>
            <w:tcW w:w="6521" w:type="dxa"/>
            <w:gridSpan w:val="7"/>
            <w:tcBorders>
              <w:top w:val="single" w:sz="4" w:space="0" w:color="000000"/>
              <w:left w:val="single" w:sz="4" w:space="0" w:color="000000"/>
              <w:bottom w:val="single" w:sz="4" w:space="0" w:color="000000"/>
              <w:right w:val="single" w:sz="4" w:space="0" w:color="000000"/>
            </w:tcBorders>
            <w:hideMark/>
          </w:tcPr>
          <w:p w14:paraId="1F569869" w14:textId="77777777" w:rsidR="00510785" w:rsidRPr="00510785" w:rsidRDefault="00510785">
            <w:pPr>
              <w:pStyle w:val="TableParagraph"/>
              <w:ind w:left="167"/>
              <w:rPr>
                <w:sz w:val="18"/>
                <w:szCs w:val="18"/>
              </w:rPr>
            </w:pPr>
            <w:r w:rsidRPr="00510785">
              <w:rPr>
                <w:sz w:val="18"/>
                <w:szCs w:val="18"/>
              </w:rPr>
              <w:t>Correlation is significant at the 0.05 level (2-tailed).</w:t>
            </w:r>
          </w:p>
        </w:tc>
      </w:tr>
    </w:tbl>
    <w:p w14:paraId="66690448" w14:textId="77777777" w:rsidR="00510785" w:rsidRDefault="00510785" w:rsidP="00510785">
      <w:pPr>
        <w:pStyle w:val="BodyText"/>
        <w:rPr>
          <w:b/>
          <w:bCs/>
          <w:iCs/>
          <w:sz w:val="18"/>
          <w:szCs w:val="18"/>
        </w:rPr>
      </w:pPr>
    </w:p>
    <w:p w14:paraId="0AA7DC65" w14:textId="4BFF6C55" w:rsidR="00405CF6" w:rsidRDefault="00CF28B8" w:rsidP="00BE7294">
      <w:pPr>
        <w:pStyle w:val="heading1"/>
      </w:pPr>
      <w:r w:rsidRPr="00AE2F2B">
        <w:t xml:space="preserve">Discussions </w:t>
      </w:r>
    </w:p>
    <w:p w14:paraId="20EBCCCD" w14:textId="0BBF3A37" w:rsidR="00510785" w:rsidRPr="00510785" w:rsidRDefault="00510785" w:rsidP="00510785">
      <w:pPr>
        <w:ind w:firstLine="0"/>
      </w:pPr>
      <w:r w:rsidRPr="00510785">
        <w:t>From the analysis in previous chapter, the objectives of this study have been achieved. The study successfully measured the level of customer satisfaction with the adoption of technology, product offered by takaful operator and consultancy provided by takaful agents.</w:t>
      </w:r>
    </w:p>
    <w:p w14:paraId="64BEBB32" w14:textId="1BAF84B9" w:rsidR="00405CF6" w:rsidRPr="00AE2F2B" w:rsidRDefault="00405CF6" w:rsidP="00BE7294">
      <w:pPr>
        <w:pStyle w:val="heading2"/>
      </w:pPr>
      <w:r w:rsidRPr="00AE2F2B">
        <w:t xml:space="preserve">Relationship </w:t>
      </w:r>
      <w:r w:rsidR="00CA2A66">
        <w:t xml:space="preserve">between </w:t>
      </w:r>
      <w:r w:rsidR="00510785">
        <w:t xml:space="preserve">adoption of technology </w:t>
      </w:r>
      <w:r w:rsidR="00CA2A66">
        <w:t>and</w:t>
      </w:r>
      <w:r w:rsidR="00510785">
        <w:t xml:space="preserve"> customer satisfaction</w:t>
      </w:r>
    </w:p>
    <w:p w14:paraId="6A7547CD" w14:textId="75EA12CB" w:rsidR="00405CF6" w:rsidRDefault="00405CF6" w:rsidP="00510785">
      <w:pPr>
        <w:ind w:firstLine="0"/>
        <w:rPr>
          <w:position w:val="1"/>
        </w:rPr>
      </w:pPr>
    </w:p>
    <w:tbl>
      <w:tblPr>
        <w:tblW w:w="5432" w:type="dxa"/>
        <w:jc w:val="center"/>
        <w:tblLook w:val="04A0" w:firstRow="1" w:lastRow="0" w:firstColumn="1" w:lastColumn="0" w:noHBand="0" w:noVBand="1"/>
      </w:tblPr>
      <w:tblGrid>
        <w:gridCol w:w="1739"/>
        <w:gridCol w:w="2565"/>
        <w:gridCol w:w="1128"/>
      </w:tblGrid>
      <w:tr w:rsidR="00510785" w:rsidRPr="00510785" w14:paraId="24F535B0" w14:textId="77777777" w:rsidTr="00510785">
        <w:trPr>
          <w:trHeight w:val="29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0DB25" w14:textId="77777777" w:rsidR="00510785" w:rsidRPr="00510785" w:rsidRDefault="00510785">
            <w:pPr>
              <w:overflowPunct/>
              <w:autoSpaceDE/>
              <w:adjustRightInd/>
              <w:spacing w:line="240" w:lineRule="auto"/>
              <w:ind w:left="60" w:right="60" w:firstLine="0"/>
              <w:rPr>
                <w:sz w:val="18"/>
                <w:szCs w:val="18"/>
                <w:lang w:val="en-MY" w:eastAsia="en-MY"/>
              </w:rPr>
            </w:pPr>
            <w:r w:rsidRPr="00510785">
              <w:rPr>
                <w:color w:val="000000"/>
                <w:sz w:val="18"/>
                <w:szCs w:val="18"/>
                <w:lang w:val="en-MY" w:eastAsia="en-MY"/>
              </w:rPr>
              <w:t>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40E22" w14:textId="77777777" w:rsidR="00510785" w:rsidRPr="00510785" w:rsidRDefault="00510785">
            <w:pPr>
              <w:overflowPunct/>
              <w:autoSpaceDE/>
              <w:adjustRightInd/>
              <w:spacing w:line="240" w:lineRule="auto"/>
              <w:ind w:left="60" w:right="60" w:firstLine="0"/>
              <w:rPr>
                <w:sz w:val="18"/>
                <w:szCs w:val="18"/>
                <w:lang w:val="en-MY" w:eastAsia="en-MY"/>
              </w:rPr>
            </w:pPr>
            <w:r w:rsidRPr="00510785">
              <w:rPr>
                <w:color w:val="000000"/>
                <w:sz w:val="18"/>
                <w:szCs w:val="18"/>
                <w:lang w:val="en-MY" w:eastAsia="en-MY"/>
              </w:rPr>
              <w:t>Pearson Correlation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EF335" w14:textId="77777777" w:rsidR="00510785" w:rsidRPr="00510785" w:rsidRDefault="00510785">
            <w:pPr>
              <w:overflowPunct/>
              <w:autoSpaceDE/>
              <w:adjustRightInd/>
              <w:spacing w:line="240" w:lineRule="auto"/>
              <w:ind w:left="60" w:right="60" w:firstLine="0"/>
              <w:jc w:val="center"/>
              <w:rPr>
                <w:sz w:val="18"/>
                <w:szCs w:val="18"/>
                <w:lang w:val="en-MY" w:eastAsia="en-MY"/>
              </w:rPr>
            </w:pPr>
            <w:r w:rsidRPr="00510785">
              <w:rPr>
                <w:color w:val="000000"/>
                <w:sz w:val="18"/>
                <w:szCs w:val="18"/>
                <w:lang w:val="en-MY" w:eastAsia="en-MY"/>
              </w:rPr>
              <w:t>.777</w:t>
            </w:r>
            <w:r w:rsidRPr="00510785">
              <w:rPr>
                <w:color w:val="000000"/>
                <w:sz w:val="18"/>
                <w:szCs w:val="18"/>
                <w:vertAlign w:val="superscript"/>
                <w:lang w:val="en-MY" w:eastAsia="en-MY"/>
              </w:rPr>
              <w:t>**</w:t>
            </w:r>
          </w:p>
        </w:tc>
      </w:tr>
      <w:tr w:rsidR="00510785" w:rsidRPr="00510785" w14:paraId="48BDB8B6" w14:textId="77777777" w:rsidTr="00510785">
        <w:trPr>
          <w:trHeight w:val="31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9571C" w14:textId="77777777" w:rsidR="00510785" w:rsidRPr="00510785" w:rsidRDefault="00510785">
            <w:pPr>
              <w:overflowPunct/>
              <w:autoSpaceDE/>
              <w:autoSpaceDN/>
              <w:adjustRightInd/>
              <w:ind w:firstLine="0"/>
              <w:jc w:val="left"/>
              <w:rPr>
                <w:sz w:val="18"/>
                <w:szCs w:val="18"/>
                <w:lang w:val="en-MY" w:eastAsia="en-MY"/>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FB386" w14:textId="77777777" w:rsidR="00510785" w:rsidRPr="00510785" w:rsidRDefault="00510785">
            <w:pPr>
              <w:overflowPunct/>
              <w:autoSpaceDE/>
              <w:adjustRightInd/>
              <w:spacing w:line="240" w:lineRule="auto"/>
              <w:ind w:left="60" w:right="60" w:firstLine="0"/>
              <w:rPr>
                <w:sz w:val="18"/>
                <w:szCs w:val="18"/>
                <w:lang w:val="en-MY" w:eastAsia="en-MY"/>
              </w:rPr>
            </w:pPr>
            <w:r w:rsidRPr="00510785">
              <w:rPr>
                <w:color w:val="000000"/>
                <w:sz w:val="18"/>
                <w:szCs w:val="18"/>
                <w:lang w:val="en-MY" w:eastAsia="en-MY"/>
              </w:rPr>
              <w:t>Sig. (2-tailed)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6FA51" w14:textId="77777777" w:rsidR="00510785" w:rsidRPr="00510785" w:rsidRDefault="00510785">
            <w:pPr>
              <w:overflowPunct/>
              <w:autoSpaceDE/>
              <w:adjustRightInd/>
              <w:spacing w:line="240" w:lineRule="auto"/>
              <w:ind w:left="60" w:right="60" w:firstLine="0"/>
              <w:jc w:val="center"/>
              <w:rPr>
                <w:sz w:val="18"/>
                <w:szCs w:val="18"/>
                <w:lang w:val="en-MY" w:eastAsia="en-MY"/>
              </w:rPr>
            </w:pPr>
            <w:r w:rsidRPr="00510785">
              <w:rPr>
                <w:color w:val="000000"/>
                <w:sz w:val="18"/>
                <w:szCs w:val="18"/>
                <w:lang w:val="en-MY" w:eastAsia="en-MY"/>
              </w:rPr>
              <w:t>.000</w:t>
            </w:r>
          </w:p>
        </w:tc>
      </w:tr>
      <w:tr w:rsidR="00510785" w:rsidRPr="00510785" w14:paraId="0111A726" w14:textId="77777777" w:rsidTr="00510785">
        <w:trPr>
          <w:trHeight w:val="29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3FC4E" w14:textId="77777777" w:rsidR="00510785" w:rsidRPr="00510785" w:rsidRDefault="00510785">
            <w:pPr>
              <w:overflowPunct/>
              <w:autoSpaceDE/>
              <w:autoSpaceDN/>
              <w:adjustRightInd/>
              <w:ind w:firstLine="0"/>
              <w:jc w:val="left"/>
              <w:rPr>
                <w:sz w:val="18"/>
                <w:szCs w:val="18"/>
                <w:lang w:val="en-MY" w:eastAsia="en-MY"/>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D2FC2C" w14:textId="77777777" w:rsidR="00510785" w:rsidRPr="00510785" w:rsidRDefault="00510785">
            <w:pPr>
              <w:overflowPunct/>
              <w:autoSpaceDE/>
              <w:adjustRightInd/>
              <w:spacing w:line="240" w:lineRule="auto"/>
              <w:ind w:left="60" w:right="60" w:firstLine="0"/>
              <w:rPr>
                <w:sz w:val="18"/>
                <w:szCs w:val="18"/>
                <w:lang w:val="en-MY" w:eastAsia="en-MY"/>
              </w:rPr>
            </w:pPr>
            <w:r w:rsidRPr="00510785">
              <w:rPr>
                <w:color w:val="000000"/>
                <w:sz w:val="18"/>
                <w:szCs w:val="18"/>
                <w:lang w:val="en-MY" w:eastAsia="en-MY"/>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11AE6" w14:textId="77777777" w:rsidR="00510785" w:rsidRPr="00510785" w:rsidRDefault="00510785">
            <w:pPr>
              <w:overflowPunct/>
              <w:autoSpaceDE/>
              <w:adjustRightInd/>
              <w:spacing w:line="240" w:lineRule="auto"/>
              <w:ind w:left="60" w:right="60" w:firstLine="0"/>
              <w:jc w:val="center"/>
              <w:rPr>
                <w:sz w:val="18"/>
                <w:szCs w:val="18"/>
                <w:lang w:val="en-MY" w:eastAsia="en-MY"/>
              </w:rPr>
            </w:pPr>
            <w:r w:rsidRPr="00510785">
              <w:rPr>
                <w:color w:val="000000"/>
                <w:sz w:val="18"/>
                <w:szCs w:val="18"/>
                <w:lang w:val="en-MY" w:eastAsia="en-MY"/>
              </w:rPr>
              <w:t>150</w:t>
            </w:r>
          </w:p>
        </w:tc>
      </w:tr>
    </w:tbl>
    <w:p w14:paraId="6E1D3222" w14:textId="77777777" w:rsidR="00510785" w:rsidRPr="00510785" w:rsidRDefault="00510785" w:rsidP="00510785">
      <w:pPr>
        <w:overflowPunct/>
        <w:autoSpaceDE/>
        <w:adjustRightInd/>
        <w:spacing w:line="240" w:lineRule="auto"/>
        <w:ind w:firstLine="0"/>
        <w:jc w:val="center"/>
        <w:rPr>
          <w:sz w:val="22"/>
          <w:szCs w:val="22"/>
          <w:lang w:val="en-MY" w:eastAsia="en-MY"/>
        </w:rPr>
      </w:pPr>
      <w:r w:rsidRPr="00510785">
        <w:rPr>
          <w:color w:val="000000"/>
          <w:sz w:val="18"/>
          <w:szCs w:val="18"/>
          <w:lang w:val="en-MY" w:eastAsia="en-MY"/>
        </w:rPr>
        <w:t>**Correlation is significant at the 0.05 level (2-tailed)</w:t>
      </w:r>
    </w:p>
    <w:p w14:paraId="3C8BD27C" w14:textId="77777777" w:rsidR="00510785" w:rsidRDefault="00510785" w:rsidP="00510785">
      <w:pPr>
        <w:pStyle w:val="BodyText"/>
        <w:jc w:val="both"/>
        <w:rPr>
          <w:sz w:val="20"/>
          <w:szCs w:val="20"/>
        </w:rPr>
      </w:pPr>
    </w:p>
    <w:p w14:paraId="2FDFF546" w14:textId="1A5EF9A9" w:rsidR="00510785" w:rsidRPr="002057B3" w:rsidRDefault="00510785" w:rsidP="00510785">
      <w:pPr>
        <w:ind w:firstLine="0"/>
      </w:pPr>
      <w:r>
        <w:t xml:space="preserve">The result from the above analysis, shown that p-value is significant at 0.00, (below than α = 0.05) and coefficient value of 0.777, which implies technology has a positive moderate relationship towards customer satisfaction. In other words, adoption of technology in takaful operations will totally benefits the customer. Therefore, this finding </w:t>
      </w:r>
      <w:r>
        <w:lastRenderedPageBreak/>
        <w:t xml:space="preserve">is in line with a study investigated by </w:t>
      </w:r>
      <w:r>
        <w:fldChar w:fldCharType="begin" w:fldLock="1"/>
      </w:r>
      <w:r>
        <w:instrText>ADDIN CSL_CITATION {"citationItems":[{"id":"ITEM-1","itemData":{"DOI":"10.1108/JIMA-08-2018-0143","ISSN":"17590841","abstract":"Purpose: This study aims to identify and describe possible innovations available to the takaful industry in Indonesia by considering demographic characteristics and geographical conditions. Indonesia has a predominantly Muslim population, and thus, presents good potential for the takaful market. Design/methodology/approach: This study uses a qualitative, descriptive, literature-based method to discuss innovation strategies in the takaful industry. This method is appropriate for reviewing particular conditions and phenomena by analysing information and data drawn from existing literature. Findings: Market, product and process innovations are chosen as the strategies appropriate to expanding the takaful market in Indonesia. Strategies are described, which could be used to implement these innovations by influencing the community to participate in takaful, and thus, to expand the takaful market. Research limitations/implications: The innovation strategies described are adapted to the demographic characteristics of Indonesia and so cannot necessarily be generalised to other countries with different environments. Practical implications: By considering customer demographic and geographical conditions, the takaful industry should choose the types of innovation that will suit the community characteristics and environmental conditions of Indonesia. Originality/value: The study specifically discusses innovation strategies in the takaful industry by describing the socio-economic conditions of Indonesian society. Takaful companies in Indonesia can use the results to determine the types of innovation they pursue based on the customer demographic and geographical conditions faced.","author":[{"dropping-particle":"","family":"Nugraheni","given":"Peni","non-dropping-particle":"","parse-names":false,"suffix":""},{"dropping-particle":"","family":"Muhammad","given":"Rifqi","non-dropping-particle":"","parse-names":false,"suffix":""}],"container-title":"Journal of Islamic Marketing","id":"ITEM-1","issued":{"date-parts":[["2019"]]},"title":"Innovation in the takaful industry: a strategy to expand the takaful market in Indonesia","type":"article-journal"},"uris":["http://www.mendeley.com/documents/?uuid=5ceab45d-73f7-4b2f-9dfd-a0cb95bfa7d1"]}],"mendeley":{"formattedCitation":"(Nugraheni &amp; Muhammad, 2019)","manualFormatting":"Nugraheni &amp; Muhammad (2019)","plainTextFormattedCitation":"(Nugraheni &amp; Muhammad, 2019)","previouslyFormattedCitation":"(Nugraheni &amp; Muhammad, 2019)"},"properties":{"noteIndex":0},"schema":"https://github.com/citation-style-language/schema/raw/master/csl-citation.json"}</w:instrText>
      </w:r>
      <w:r>
        <w:fldChar w:fldCharType="separate"/>
      </w:r>
      <w:r>
        <w:rPr>
          <w:noProof/>
        </w:rPr>
        <w:t>Nugraheni &amp; Muhammad (2019)</w:t>
      </w:r>
      <w:r>
        <w:fldChar w:fldCharType="end"/>
      </w:r>
      <w:r>
        <w:t xml:space="preserve"> and </w:t>
      </w:r>
      <w:r>
        <w:fldChar w:fldCharType="begin" w:fldLock="1"/>
      </w:r>
      <w:r>
        <w:instrText>ADDIN CSL_CITATION {"citationItems":[{"id":"ITEM-1","itemData":{"author":[{"dropping-particle":"","family":"Md Husin","given":"Maizaitulaidawati","non-dropping-particle":"","parse-names":false,"suffix":""}],"id":"ITEM-1","issued":{"date-parts":[["2019"]]},"page":"131-137","title":"The Dynamics of Malaysian Takaful Market : Challenges and Future Prospects","type":"article-journal","volume":"2117"},"uris":["http://www.mendeley.com/documents/?uuid=288adc12-1492-4c49-89e1-2d8d1a788194"]}],"mendeley":{"formattedCitation":"(Md Husin, 2019)","manualFormatting":"Md Husin (2019)","plainTextFormattedCitation":"(Md Husin, 2019)","previouslyFormattedCitation":"(Md Husin, 2019)"},"properties":{"noteIndex":0},"schema":"https://github.com/citation-style-language/schema/raw/master/csl-citation.json"}</w:instrText>
      </w:r>
      <w:r>
        <w:fldChar w:fldCharType="separate"/>
      </w:r>
      <w:r>
        <w:rPr>
          <w:noProof/>
        </w:rPr>
        <w:t>Md Husin (2019)</w:t>
      </w:r>
      <w:r>
        <w:fldChar w:fldCharType="end"/>
      </w:r>
      <w:r>
        <w:t>. Hence, H</w:t>
      </w:r>
      <w:r>
        <w:rPr>
          <w:vertAlign w:val="subscript"/>
        </w:rPr>
        <w:t xml:space="preserve">1 </w:t>
      </w:r>
      <w:r>
        <w:t xml:space="preserve">is accepted. </w:t>
      </w:r>
    </w:p>
    <w:p w14:paraId="1A0AAE59" w14:textId="17998472" w:rsidR="00405CF6" w:rsidRPr="00CA2A66" w:rsidRDefault="00405CF6" w:rsidP="00CA2A66">
      <w:pPr>
        <w:pStyle w:val="heading2"/>
      </w:pPr>
      <w:r w:rsidRPr="00AE2F2B">
        <w:t xml:space="preserve">Relationship </w:t>
      </w:r>
      <w:r w:rsidR="00CA2A66">
        <w:t>between product offered and customer satisfaction</w:t>
      </w:r>
    </w:p>
    <w:tbl>
      <w:tblPr>
        <w:tblpPr w:leftFromText="180" w:rightFromText="180" w:vertAnchor="text" w:horzAnchor="margin" w:tblpXSpec="center" w:tblpY="137"/>
        <w:tblW w:w="5582" w:type="dxa"/>
        <w:tblLook w:val="04A0" w:firstRow="1" w:lastRow="0" w:firstColumn="1" w:lastColumn="0" w:noHBand="0" w:noVBand="1"/>
      </w:tblPr>
      <w:tblGrid>
        <w:gridCol w:w="2041"/>
        <w:gridCol w:w="2482"/>
        <w:gridCol w:w="1059"/>
      </w:tblGrid>
      <w:tr w:rsidR="00510785" w14:paraId="4CC02301" w14:textId="77777777" w:rsidTr="00510785">
        <w:trPr>
          <w:trHeight w:val="28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EA448" w14:textId="77777777" w:rsidR="00510785" w:rsidRDefault="00510785">
            <w:pPr>
              <w:overflowPunct/>
              <w:autoSpaceDE/>
              <w:adjustRightInd/>
              <w:spacing w:line="240" w:lineRule="auto"/>
              <w:ind w:left="60" w:right="60" w:firstLine="0"/>
              <w:jc w:val="center"/>
              <w:rPr>
                <w:lang w:val="en-MY" w:eastAsia="en-MY"/>
              </w:rPr>
            </w:pPr>
            <w:r>
              <w:rPr>
                <w:color w:val="000000"/>
                <w:lang w:val="en-MY" w:eastAsia="en-MY"/>
              </w:rPr>
              <w:t>Product offered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15225" w14:textId="77777777" w:rsidR="00510785" w:rsidRDefault="00510785">
            <w:pPr>
              <w:overflowPunct/>
              <w:autoSpaceDE/>
              <w:adjustRightInd/>
              <w:spacing w:line="240" w:lineRule="auto"/>
              <w:ind w:left="60" w:right="60" w:firstLine="0"/>
              <w:rPr>
                <w:lang w:val="en-MY" w:eastAsia="en-MY"/>
              </w:rPr>
            </w:pPr>
            <w:r>
              <w:rPr>
                <w:color w:val="000000"/>
                <w:lang w:val="en-MY" w:eastAsia="en-MY"/>
              </w:rPr>
              <w:t>Pearson Correlation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9362C" w14:textId="77777777" w:rsidR="00510785" w:rsidRDefault="00510785">
            <w:pPr>
              <w:overflowPunct/>
              <w:autoSpaceDE/>
              <w:adjustRightInd/>
              <w:spacing w:line="240" w:lineRule="auto"/>
              <w:ind w:left="60" w:right="60" w:firstLine="0"/>
              <w:jc w:val="center"/>
              <w:rPr>
                <w:lang w:val="en-MY" w:eastAsia="en-MY"/>
              </w:rPr>
            </w:pPr>
            <w:r>
              <w:rPr>
                <w:color w:val="000000"/>
                <w:lang w:val="en-MY" w:eastAsia="en-MY"/>
              </w:rPr>
              <w:t>.821</w:t>
            </w:r>
            <w:r>
              <w:rPr>
                <w:color w:val="000000"/>
                <w:vertAlign w:val="superscript"/>
                <w:lang w:val="en-MY" w:eastAsia="en-MY"/>
              </w:rPr>
              <w:t>**</w:t>
            </w:r>
          </w:p>
        </w:tc>
      </w:tr>
      <w:tr w:rsidR="00510785" w14:paraId="5F82E4A0" w14:textId="77777777" w:rsidTr="00510785">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0BC24C" w14:textId="77777777" w:rsidR="00510785" w:rsidRDefault="00510785">
            <w:pPr>
              <w:overflowPunct/>
              <w:autoSpaceDE/>
              <w:autoSpaceDN/>
              <w:adjustRightInd/>
              <w:ind w:firstLine="0"/>
              <w:jc w:val="left"/>
              <w:rPr>
                <w:lang w:val="en-MY" w:eastAsia="en-MY"/>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9846D" w14:textId="77777777" w:rsidR="00510785" w:rsidRDefault="00510785">
            <w:pPr>
              <w:overflowPunct/>
              <w:autoSpaceDE/>
              <w:adjustRightInd/>
              <w:spacing w:line="240" w:lineRule="auto"/>
              <w:ind w:left="60" w:right="60" w:firstLine="0"/>
              <w:rPr>
                <w:lang w:val="en-MY" w:eastAsia="en-MY"/>
              </w:rPr>
            </w:pPr>
            <w:r>
              <w:rPr>
                <w:color w:val="000000"/>
                <w:lang w:val="en-MY" w:eastAsia="en-MY"/>
              </w:rPr>
              <w:t>Sig. (2-tailed)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A0087" w14:textId="77777777" w:rsidR="00510785" w:rsidRDefault="00510785">
            <w:pPr>
              <w:overflowPunct/>
              <w:autoSpaceDE/>
              <w:adjustRightInd/>
              <w:spacing w:line="240" w:lineRule="auto"/>
              <w:ind w:left="60" w:right="60" w:firstLine="0"/>
              <w:jc w:val="center"/>
              <w:rPr>
                <w:lang w:val="en-MY" w:eastAsia="en-MY"/>
              </w:rPr>
            </w:pPr>
            <w:r>
              <w:rPr>
                <w:color w:val="000000"/>
                <w:lang w:val="en-MY" w:eastAsia="en-MY"/>
              </w:rPr>
              <w:t>.000</w:t>
            </w:r>
          </w:p>
        </w:tc>
      </w:tr>
      <w:tr w:rsidR="00510785" w14:paraId="68617F92" w14:textId="77777777" w:rsidTr="00510785">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89C70F" w14:textId="77777777" w:rsidR="00510785" w:rsidRDefault="00510785">
            <w:pPr>
              <w:overflowPunct/>
              <w:autoSpaceDE/>
              <w:autoSpaceDN/>
              <w:adjustRightInd/>
              <w:ind w:firstLine="0"/>
              <w:jc w:val="left"/>
              <w:rPr>
                <w:lang w:val="en-MY" w:eastAsia="en-MY"/>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66ABC" w14:textId="77777777" w:rsidR="00510785" w:rsidRDefault="00510785">
            <w:pPr>
              <w:overflowPunct/>
              <w:autoSpaceDE/>
              <w:adjustRightInd/>
              <w:spacing w:line="240" w:lineRule="auto"/>
              <w:ind w:left="60" w:right="60" w:firstLine="0"/>
              <w:rPr>
                <w:lang w:val="en-MY" w:eastAsia="en-MY"/>
              </w:rPr>
            </w:pPr>
            <w:r>
              <w:rPr>
                <w:color w:val="000000"/>
                <w:lang w:val="en-MY" w:eastAsia="en-MY"/>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9716F" w14:textId="77777777" w:rsidR="00510785" w:rsidRDefault="00510785">
            <w:pPr>
              <w:overflowPunct/>
              <w:autoSpaceDE/>
              <w:adjustRightInd/>
              <w:spacing w:line="240" w:lineRule="auto"/>
              <w:ind w:left="60" w:right="60" w:firstLine="0"/>
              <w:jc w:val="center"/>
              <w:rPr>
                <w:lang w:val="en-MY" w:eastAsia="en-MY"/>
              </w:rPr>
            </w:pPr>
            <w:r>
              <w:rPr>
                <w:color w:val="000000"/>
                <w:lang w:val="en-MY" w:eastAsia="en-MY"/>
              </w:rPr>
              <w:t>150</w:t>
            </w:r>
          </w:p>
        </w:tc>
      </w:tr>
    </w:tbl>
    <w:p w14:paraId="129D969A" w14:textId="77777777" w:rsidR="00510785" w:rsidRPr="00510785" w:rsidRDefault="00510785" w:rsidP="00BE7294">
      <w:pPr>
        <w:ind w:firstLine="0"/>
        <w:rPr>
          <w:b/>
          <w:bCs/>
          <w:position w:val="1"/>
        </w:rPr>
      </w:pPr>
    </w:p>
    <w:p w14:paraId="055B6DAF" w14:textId="69767A76" w:rsidR="00510785" w:rsidRDefault="00510785" w:rsidP="00CA2A66">
      <w:pPr>
        <w:pStyle w:val="heading1"/>
        <w:numPr>
          <w:ilvl w:val="0"/>
          <w:numId w:val="0"/>
        </w:numPr>
        <w:ind w:left="567"/>
        <w:rPr>
          <w:sz w:val="20"/>
        </w:rPr>
      </w:pPr>
    </w:p>
    <w:p w14:paraId="22B0EEC9" w14:textId="77777777" w:rsidR="00CA2A66" w:rsidRDefault="00CA2A66" w:rsidP="00CA2A66">
      <w:pPr>
        <w:overflowPunct/>
        <w:autoSpaceDE/>
        <w:adjustRightInd/>
        <w:spacing w:line="240" w:lineRule="auto"/>
        <w:ind w:firstLine="0"/>
        <w:jc w:val="center"/>
        <w:rPr>
          <w:sz w:val="24"/>
          <w:szCs w:val="24"/>
          <w:lang w:val="en-MY" w:eastAsia="en-MY"/>
        </w:rPr>
      </w:pPr>
      <w:r>
        <w:rPr>
          <w:color w:val="000000"/>
          <w:lang w:val="en-MY" w:eastAsia="en-MY"/>
        </w:rPr>
        <w:t>**Correlation is significant at the 0.05 level (2-tailed)</w:t>
      </w:r>
    </w:p>
    <w:p w14:paraId="02752BE3" w14:textId="77777777" w:rsidR="00CA2A66" w:rsidRDefault="00CA2A66" w:rsidP="00CA2A66">
      <w:pPr>
        <w:pStyle w:val="BodyText"/>
        <w:jc w:val="both"/>
        <w:rPr>
          <w:sz w:val="20"/>
          <w:szCs w:val="20"/>
        </w:rPr>
      </w:pPr>
    </w:p>
    <w:p w14:paraId="6D4FF126" w14:textId="3D735125" w:rsidR="00CA2A66" w:rsidRDefault="00CA2A66" w:rsidP="00CA2A66">
      <w:pPr>
        <w:ind w:firstLine="0"/>
      </w:pPr>
      <w:r>
        <w:t>Meanwhile, the result displayed above signifies the customer satisfaction in product offered by takaful operators. Since the p-value is significant at 0.00 and the coefficient value is 0.821, it suggests that these variables are linked to one another. Simply put, the variety of product offered in the market has strong connection to the satisfaction of Muslims customers. Therefore, H</w:t>
      </w:r>
      <w:r>
        <w:rPr>
          <w:vertAlign w:val="subscript"/>
        </w:rPr>
        <w:t>2</w:t>
      </w:r>
      <w:r>
        <w:t xml:space="preserve"> should be accepted. </w:t>
      </w:r>
    </w:p>
    <w:p w14:paraId="5B9F47F5" w14:textId="39884246" w:rsidR="00CA2A66" w:rsidRDefault="00CA2A66" w:rsidP="00CA2A66">
      <w:pPr>
        <w:pStyle w:val="heading2"/>
      </w:pPr>
      <w:r>
        <w:t>Relationship between consultancy and customer satisfaction</w:t>
      </w:r>
    </w:p>
    <w:tbl>
      <w:tblPr>
        <w:tblW w:w="5537" w:type="dxa"/>
        <w:jc w:val="center"/>
        <w:tblLook w:val="04A0" w:firstRow="1" w:lastRow="0" w:firstColumn="1" w:lastColumn="0" w:noHBand="0" w:noVBand="1"/>
      </w:tblPr>
      <w:tblGrid>
        <w:gridCol w:w="1812"/>
        <w:gridCol w:w="2611"/>
        <w:gridCol w:w="1114"/>
      </w:tblGrid>
      <w:tr w:rsidR="00CA2A66" w14:paraId="52EB7093" w14:textId="77777777" w:rsidTr="00CA2A66">
        <w:trPr>
          <w:trHeight w:val="271"/>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64500" w14:textId="77777777" w:rsidR="00CA2A66" w:rsidRDefault="00CA2A66">
            <w:pPr>
              <w:overflowPunct/>
              <w:autoSpaceDE/>
              <w:adjustRightInd/>
              <w:spacing w:line="240" w:lineRule="auto"/>
              <w:ind w:left="60" w:right="60" w:firstLine="0"/>
              <w:rPr>
                <w:lang w:val="en-MY" w:eastAsia="en-MY"/>
              </w:rPr>
            </w:pPr>
            <w:bookmarkStart w:id="1" w:name="_Hlk52964239"/>
            <w:r>
              <w:rPr>
                <w:color w:val="000000"/>
                <w:lang w:val="en-MY" w:eastAsia="en-MY"/>
              </w:rPr>
              <w:t>Consultancy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1D39C" w14:textId="77777777" w:rsidR="00CA2A66" w:rsidRDefault="00CA2A66">
            <w:pPr>
              <w:overflowPunct/>
              <w:autoSpaceDE/>
              <w:adjustRightInd/>
              <w:spacing w:line="240" w:lineRule="auto"/>
              <w:ind w:left="60" w:right="60" w:firstLine="0"/>
              <w:rPr>
                <w:lang w:val="en-MY" w:eastAsia="en-MY"/>
              </w:rPr>
            </w:pPr>
            <w:r>
              <w:rPr>
                <w:color w:val="000000"/>
                <w:lang w:val="en-MY" w:eastAsia="en-MY"/>
              </w:rPr>
              <w:t>Pearson Correlation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FF3DF" w14:textId="77777777" w:rsidR="00CA2A66" w:rsidRDefault="00CA2A66">
            <w:pPr>
              <w:overflowPunct/>
              <w:autoSpaceDE/>
              <w:adjustRightInd/>
              <w:spacing w:line="240" w:lineRule="auto"/>
              <w:ind w:left="60" w:right="60" w:firstLine="0"/>
              <w:jc w:val="center"/>
              <w:rPr>
                <w:lang w:val="en-MY" w:eastAsia="en-MY"/>
              </w:rPr>
            </w:pPr>
            <w:r>
              <w:rPr>
                <w:color w:val="000000"/>
                <w:lang w:val="en-MY" w:eastAsia="en-MY"/>
              </w:rPr>
              <w:t>.814</w:t>
            </w:r>
            <w:r>
              <w:rPr>
                <w:color w:val="000000"/>
                <w:vertAlign w:val="superscript"/>
                <w:lang w:val="en-MY" w:eastAsia="en-MY"/>
              </w:rPr>
              <w:t>**</w:t>
            </w:r>
          </w:p>
        </w:tc>
      </w:tr>
      <w:tr w:rsidR="00CA2A66" w14:paraId="0373F75D" w14:textId="77777777" w:rsidTr="00CA2A66">
        <w:trPr>
          <w:trHeight w:val="2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AAAF1" w14:textId="77777777" w:rsidR="00CA2A66" w:rsidRDefault="00CA2A66">
            <w:pPr>
              <w:overflowPunct/>
              <w:autoSpaceDE/>
              <w:autoSpaceDN/>
              <w:adjustRightInd/>
              <w:ind w:firstLine="0"/>
              <w:jc w:val="left"/>
              <w:rPr>
                <w:lang w:val="en-MY" w:eastAsia="en-MY"/>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CBCD7" w14:textId="77777777" w:rsidR="00CA2A66" w:rsidRDefault="00CA2A66">
            <w:pPr>
              <w:overflowPunct/>
              <w:autoSpaceDE/>
              <w:adjustRightInd/>
              <w:spacing w:line="240" w:lineRule="auto"/>
              <w:ind w:left="60" w:right="60" w:firstLine="0"/>
              <w:rPr>
                <w:lang w:val="en-MY" w:eastAsia="en-MY"/>
              </w:rPr>
            </w:pPr>
            <w:r>
              <w:rPr>
                <w:color w:val="000000"/>
                <w:lang w:val="en-MY" w:eastAsia="en-MY"/>
              </w:rPr>
              <w:t>Sig. (2-tailed)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53D0D" w14:textId="77777777" w:rsidR="00CA2A66" w:rsidRDefault="00CA2A66">
            <w:pPr>
              <w:overflowPunct/>
              <w:autoSpaceDE/>
              <w:adjustRightInd/>
              <w:spacing w:line="240" w:lineRule="auto"/>
              <w:ind w:left="60" w:right="60" w:firstLine="0"/>
              <w:jc w:val="center"/>
              <w:rPr>
                <w:lang w:val="en-MY" w:eastAsia="en-MY"/>
              </w:rPr>
            </w:pPr>
            <w:r>
              <w:rPr>
                <w:color w:val="000000"/>
                <w:lang w:val="en-MY" w:eastAsia="en-MY"/>
              </w:rPr>
              <w:t>.000</w:t>
            </w:r>
          </w:p>
        </w:tc>
      </w:tr>
      <w:tr w:rsidR="00CA2A66" w14:paraId="32E0EA1E" w14:textId="77777777" w:rsidTr="00CA2A66">
        <w:trPr>
          <w:trHeight w:val="3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E563E2" w14:textId="77777777" w:rsidR="00CA2A66" w:rsidRDefault="00CA2A66">
            <w:pPr>
              <w:overflowPunct/>
              <w:autoSpaceDE/>
              <w:autoSpaceDN/>
              <w:adjustRightInd/>
              <w:ind w:firstLine="0"/>
              <w:jc w:val="left"/>
              <w:rPr>
                <w:lang w:val="en-MY" w:eastAsia="en-MY"/>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359851" w14:textId="77777777" w:rsidR="00CA2A66" w:rsidRDefault="00CA2A66">
            <w:pPr>
              <w:overflowPunct/>
              <w:autoSpaceDE/>
              <w:adjustRightInd/>
              <w:spacing w:line="240" w:lineRule="auto"/>
              <w:ind w:left="60" w:right="60" w:firstLine="0"/>
              <w:rPr>
                <w:lang w:val="en-MY" w:eastAsia="en-MY"/>
              </w:rPr>
            </w:pPr>
            <w:r>
              <w:rPr>
                <w:color w:val="000000"/>
                <w:lang w:val="en-MY" w:eastAsia="en-MY"/>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10C47" w14:textId="77777777" w:rsidR="00CA2A66" w:rsidRDefault="00CA2A66">
            <w:pPr>
              <w:overflowPunct/>
              <w:autoSpaceDE/>
              <w:adjustRightInd/>
              <w:spacing w:line="240" w:lineRule="auto"/>
              <w:ind w:left="60" w:right="60" w:firstLine="0"/>
              <w:jc w:val="center"/>
              <w:rPr>
                <w:lang w:val="en-MY" w:eastAsia="en-MY"/>
              </w:rPr>
            </w:pPr>
            <w:r>
              <w:rPr>
                <w:color w:val="000000"/>
                <w:lang w:val="en-MY" w:eastAsia="en-MY"/>
              </w:rPr>
              <w:t>150</w:t>
            </w:r>
          </w:p>
        </w:tc>
        <w:bookmarkEnd w:id="1"/>
      </w:tr>
    </w:tbl>
    <w:p w14:paraId="19BCF7F5" w14:textId="77777777" w:rsidR="00CA2A66" w:rsidRDefault="00CA2A66" w:rsidP="00CA2A66">
      <w:pPr>
        <w:overflowPunct/>
        <w:autoSpaceDE/>
        <w:adjustRightInd/>
        <w:spacing w:line="240" w:lineRule="auto"/>
        <w:ind w:firstLine="0"/>
        <w:jc w:val="center"/>
        <w:rPr>
          <w:sz w:val="24"/>
          <w:szCs w:val="24"/>
          <w:lang w:val="en-MY" w:eastAsia="en-MY"/>
        </w:rPr>
      </w:pPr>
      <w:bookmarkStart w:id="2" w:name="_Hlk52964123"/>
      <w:r>
        <w:rPr>
          <w:color w:val="000000"/>
          <w:lang w:val="en-MY" w:eastAsia="en-MY"/>
        </w:rPr>
        <w:t>**Correlation is significant at the 0.05 level (2-tailed)</w:t>
      </w:r>
      <w:bookmarkEnd w:id="2"/>
    </w:p>
    <w:p w14:paraId="78909894" w14:textId="77777777" w:rsidR="00CA2A66" w:rsidRDefault="00CA2A66" w:rsidP="00CA2A66">
      <w:pPr>
        <w:ind w:firstLine="0"/>
      </w:pPr>
    </w:p>
    <w:p w14:paraId="2D7EB36E" w14:textId="5E3A7135" w:rsidR="00CA2A66" w:rsidRPr="00CA2A66" w:rsidRDefault="00CA2A66" w:rsidP="00CA2A66">
      <w:pPr>
        <w:ind w:firstLine="0"/>
      </w:pPr>
      <w:r>
        <w:t>As depicted in the table, the result indicates the relationship of consultancy and customer satisfaction. The p-value is again at 0.00 which specifies a significant positive relationship between the variables. As mentioned earlier in literatures section, the responsibility of a takaful agent does not stop at selling the products only but also to continue their engagement with the client until the plan matures or terminated. Thus, this explains how consultancy could have strong relationship to the customer satisfaction. The subsequent hypothesis, H</w:t>
      </w:r>
      <w:r>
        <w:rPr>
          <w:vertAlign w:val="subscript"/>
        </w:rPr>
        <w:t xml:space="preserve">3, </w:t>
      </w:r>
      <w:r>
        <w:t xml:space="preserve">is again accepted. </w:t>
      </w:r>
    </w:p>
    <w:p w14:paraId="7856D3CA" w14:textId="6D92EEB8" w:rsidR="00405CF6" w:rsidRPr="00BE7294" w:rsidRDefault="00405CF6" w:rsidP="00BE7294">
      <w:pPr>
        <w:pStyle w:val="heading1"/>
        <w:rPr>
          <w:sz w:val="20"/>
        </w:rPr>
      </w:pPr>
      <w:r w:rsidRPr="00693FCC">
        <w:t>Conclusion</w:t>
      </w:r>
      <w:r w:rsidR="00CA2A66">
        <w:t xml:space="preserve"> &amp; </w:t>
      </w:r>
      <w:r>
        <w:t xml:space="preserve">Limitations </w:t>
      </w:r>
    </w:p>
    <w:p w14:paraId="105A2393" w14:textId="77777777" w:rsidR="00CA2A66" w:rsidRDefault="00CA2A66" w:rsidP="00CA2A66">
      <w:pPr>
        <w:ind w:firstLine="0"/>
      </w:pPr>
      <w:r>
        <w:t xml:space="preserve">As a result, this study has proven that adoption of technology, product offered, and consultancy are very important to enhance customers’ satisfaction to remain competitive in this industry. In a fast-paced world nowadays, customer prefers for a quick and efficient transaction which makes life easier. Apart from technological advancement, the range of products offered in the market plays the important role in safeguarding customers’ satisfaction. To do so, takaful operators should create a variety of products which suits the demand and need of the customers. Lastly, consultancy is considered as part of the agents’ role as a financial planner, therefore takaful operator should take relevant initiative to educate their agents to become a professional. In the end, this effort </w:t>
      </w:r>
      <w:r>
        <w:lastRenderedPageBreak/>
        <w:t xml:space="preserve">is seen persuasive to uphold customers’ confidence and boost their satisfaction for the service provided. </w:t>
      </w:r>
    </w:p>
    <w:p w14:paraId="540209C5" w14:textId="5EA2F38C" w:rsidR="00405CF6" w:rsidRDefault="00CA2A66" w:rsidP="00CA2A66">
      <w:r>
        <w:t xml:space="preserve">The key to the successfulness of a takaful operator is to have agents who can grow together with the company and give their best commitment to dedicate their energy, time and money to satisfy the customers. This study is limited to Muslim customers only, so the result is unable to generalize to every customer’s satisfaction. Therefore, for future research, a greater scale of sample size can be done to fully generalized compared to this study which has been narrowed down to only 150 respondents. </w:t>
      </w:r>
    </w:p>
    <w:p w14:paraId="77ED158A" w14:textId="66ABD766" w:rsidR="00CA2A66" w:rsidRPr="00BE7294" w:rsidRDefault="009B2539" w:rsidP="00CA2A66">
      <w:pPr>
        <w:pStyle w:val="heading1"/>
        <w:numPr>
          <w:ilvl w:val="0"/>
          <w:numId w:val="0"/>
        </w:numPr>
        <w:ind w:left="567" w:hanging="567"/>
        <w:jc w:val="both"/>
        <w:rPr>
          <w:sz w:val="18"/>
          <w:szCs w:val="18"/>
        </w:rPr>
      </w:pPr>
      <w:r>
        <w:t>References</w:t>
      </w:r>
    </w:p>
    <w:p w14:paraId="151211F0" w14:textId="3FD496E3" w:rsidR="002057B3" w:rsidRDefault="00CA2A66" w:rsidP="001749E8">
      <w:pPr>
        <w:pStyle w:val="ListParagraph"/>
        <w:numPr>
          <w:ilvl w:val="0"/>
          <w:numId w:val="22"/>
        </w:numPr>
        <w:jc w:val="both"/>
        <w:rPr>
          <w:noProof/>
          <w:sz w:val="18"/>
          <w:szCs w:val="24"/>
        </w:rPr>
      </w:pPr>
      <w:r>
        <w:fldChar w:fldCharType="begin" w:fldLock="1"/>
      </w:r>
      <w:r>
        <w:instrText xml:space="preserve">ADDIN Mendeley Bibliography CSL_BIBLIOGRAPHY </w:instrText>
      </w:r>
      <w:r>
        <w:fldChar w:fldCharType="separate"/>
      </w:r>
      <w:r w:rsidR="002057B3" w:rsidRPr="001749E8">
        <w:rPr>
          <w:noProof/>
          <w:sz w:val="18"/>
          <w:szCs w:val="24"/>
        </w:rPr>
        <w:t xml:space="preserve">Abdull Manaf, A. W., &amp; Amiruddin, N. binti. (2019). Fintech and the Challenge of Digital Disruption in Takaful Operation. </w:t>
      </w:r>
      <w:r w:rsidR="002057B3" w:rsidRPr="001749E8">
        <w:rPr>
          <w:i/>
          <w:iCs/>
          <w:noProof/>
          <w:sz w:val="18"/>
          <w:szCs w:val="24"/>
        </w:rPr>
        <w:t>Asia Proceedings of Social Sciences</w:t>
      </w:r>
      <w:r w:rsidR="002057B3" w:rsidRPr="001749E8">
        <w:rPr>
          <w:noProof/>
          <w:sz w:val="18"/>
          <w:szCs w:val="24"/>
        </w:rPr>
        <w:t xml:space="preserve">, </w:t>
      </w:r>
      <w:r w:rsidR="002057B3" w:rsidRPr="001749E8">
        <w:rPr>
          <w:i/>
          <w:iCs/>
          <w:noProof/>
          <w:sz w:val="18"/>
          <w:szCs w:val="24"/>
        </w:rPr>
        <w:t>4</w:t>
      </w:r>
      <w:r w:rsidR="002057B3" w:rsidRPr="001749E8">
        <w:rPr>
          <w:noProof/>
          <w:sz w:val="18"/>
          <w:szCs w:val="24"/>
        </w:rPr>
        <w:t>(1), 1–3. https://doi.org/10.31580/apss.v4i1.527</w:t>
      </w:r>
    </w:p>
    <w:p w14:paraId="7146E78C" w14:textId="50838904" w:rsidR="002057B3" w:rsidRPr="001749E8" w:rsidRDefault="002057B3" w:rsidP="001749E8">
      <w:pPr>
        <w:pStyle w:val="ListParagraph"/>
        <w:numPr>
          <w:ilvl w:val="0"/>
          <w:numId w:val="22"/>
        </w:numPr>
        <w:rPr>
          <w:noProof/>
          <w:sz w:val="18"/>
          <w:szCs w:val="24"/>
        </w:rPr>
      </w:pPr>
      <w:r w:rsidRPr="001749E8">
        <w:rPr>
          <w:noProof/>
          <w:sz w:val="18"/>
          <w:szCs w:val="24"/>
        </w:rPr>
        <w:t xml:space="preserve">Aldulaimi, S. H. (2016). Fundamental Islamic perspective of work ethics. </w:t>
      </w:r>
      <w:r w:rsidRPr="001749E8">
        <w:rPr>
          <w:i/>
          <w:iCs/>
          <w:noProof/>
          <w:sz w:val="18"/>
          <w:szCs w:val="24"/>
        </w:rPr>
        <w:t>Journal of Islamic Accounting and Business Research</w:t>
      </w:r>
      <w:r w:rsidRPr="001749E8">
        <w:rPr>
          <w:noProof/>
          <w:sz w:val="18"/>
          <w:szCs w:val="24"/>
        </w:rPr>
        <w:t xml:space="preserve">, </w:t>
      </w:r>
      <w:r w:rsidRPr="001749E8">
        <w:rPr>
          <w:i/>
          <w:iCs/>
          <w:noProof/>
          <w:sz w:val="18"/>
          <w:szCs w:val="24"/>
        </w:rPr>
        <w:t>7</w:t>
      </w:r>
      <w:r w:rsidRPr="001749E8">
        <w:rPr>
          <w:noProof/>
          <w:sz w:val="18"/>
          <w:szCs w:val="24"/>
        </w:rPr>
        <w:t>(1), 59–76. https://doi.org/10.1108/JIABR-02-2014-0006</w:t>
      </w:r>
    </w:p>
    <w:p w14:paraId="482DCB03" w14:textId="474A389D"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Ali, M., Raza, S. A., Puah, C. H., &amp; Amin, H. (2019). Consumer acceptance toward takaful in Pakistan: An application of diffusion of innovation theory. </w:t>
      </w:r>
      <w:r w:rsidRPr="001749E8">
        <w:rPr>
          <w:i/>
          <w:iCs/>
          <w:noProof/>
          <w:sz w:val="18"/>
          <w:szCs w:val="24"/>
        </w:rPr>
        <w:t>International Journal of Emerging Markets</w:t>
      </w:r>
      <w:r w:rsidRPr="001749E8">
        <w:rPr>
          <w:noProof/>
          <w:sz w:val="18"/>
          <w:szCs w:val="24"/>
        </w:rPr>
        <w:t xml:space="preserve">, </w:t>
      </w:r>
      <w:r w:rsidRPr="001749E8">
        <w:rPr>
          <w:i/>
          <w:iCs/>
          <w:noProof/>
          <w:sz w:val="18"/>
          <w:szCs w:val="24"/>
        </w:rPr>
        <w:t>14</w:t>
      </w:r>
      <w:r w:rsidRPr="001749E8">
        <w:rPr>
          <w:noProof/>
          <w:sz w:val="18"/>
          <w:szCs w:val="24"/>
        </w:rPr>
        <w:t>(4), 620–638. https://doi.org/10.1108/IJOEM-08-2017-0275</w:t>
      </w:r>
    </w:p>
    <w:p w14:paraId="1FD21453"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Aljamal, S. S. (2018). The Practice of Transformational Management and its Role in Achieving ‎Institutional Excellence from the Point of View of Workers in the Directorates of Education in ‎Hebron. </w:t>
      </w:r>
      <w:r w:rsidRPr="001749E8">
        <w:rPr>
          <w:i/>
          <w:iCs/>
          <w:noProof/>
          <w:sz w:val="18"/>
          <w:szCs w:val="24"/>
        </w:rPr>
        <w:t>International Journal of Business Ethics and Governance</w:t>
      </w:r>
      <w:r w:rsidRPr="001749E8">
        <w:rPr>
          <w:noProof/>
          <w:sz w:val="18"/>
          <w:szCs w:val="24"/>
        </w:rPr>
        <w:t xml:space="preserve">, </w:t>
      </w:r>
      <w:r w:rsidRPr="001749E8">
        <w:rPr>
          <w:i/>
          <w:iCs/>
          <w:noProof/>
          <w:sz w:val="18"/>
          <w:szCs w:val="24"/>
        </w:rPr>
        <w:t>1(1)</w:t>
      </w:r>
      <w:r w:rsidRPr="001749E8">
        <w:rPr>
          <w:noProof/>
          <w:sz w:val="18"/>
          <w:szCs w:val="24"/>
        </w:rPr>
        <w:t>, 64–90.</w:t>
      </w:r>
    </w:p>
    <w:p w14:paraId="59626CA6"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Asia Advisers Network. (2019). Takaful prospects bright in Malaysia and Indonesia. </w:t>
      </w:r>
      <w:r w:rsidRPr="001749E8">
        <w:rPr>
          <w:i/>
          <w:iCs/>
          <w:noProof/>
          <w:sz w:val="18"/>
          <w:szCs w:val="24"/>
        </w:rPr>
        <w:t>Asia Adviders Network</w:t>
      </w:r>
      <w:r w:rsidRPr="001749E8">
        <w:rPr>
          <w:noProof/>
          <w:sz w:val="18"/>
          <w:szCs w:val="24"/>
        </w:rPr>
        <w:t>. https://www.asiaadvisersnetwork.com/Article?aid=45447</w:t>
      </w:r>
    </w:p>
    <w:p w14:paraId="2FEEF47F"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Aziz, S., Md Husin, M., Hussin, N., &amp; Afaq, Z. (2019). Factors that influence individuals’ intentions to purchase family takaful mediating role of perceived trust. </w:t>
      </w:r>
      <w:r w:rsidRPr="001749E8">
        <w:rPr>
          <w:i/>
          <w:iCs/>
          <w:noProof/>
          <w:sz w:val="18"/>
          <w:szCs w:val="24"/>
        </w:rPr>
        <w:t>Asia Pacific Journal of Marketing and Logistics</w:t>
      </w:r>
      <w:r w:rsidRPr="001749E8">
        <w:rPr>
          <w:noProof/>
          <w:sz w:val="18"/>
          <w:szCs w:val="24"/>
        </w:rPr>
        <w:t xml:space="preserve">, </w:t>
      </w:r>
      <w:r w:rsidRPr="001749E8">
        <w:rPr>
          <w:i/>
          <w:iCs/>
          <w:noProof/>
          <w:sz w:val="18"/>
          <w:szCs w:val="24"/>
        </w:rPr>
        <w:t>31</w:t>
      </w:r>
      <w:r w:rsidRPr="001749E8">
        <w:rPr>
          <w:noProof/>
          <w:sz w:val="18"/>
          <w:szCs w:val="24"/>
        </w:rPr>
        <w:t>(1), 81–104. https://doi.org/10.1108/APJML-12-2017-0311</w:t>
      </w:r>
    </w:p>
    <w:p w14:paraId="7D267DF4"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CEIC. (2019). </w:t>
      </w:r>
      <w:r w:rsidRPr="001749E8">
        <w:rPr>
          <w:i/>
          <w:iCs/>
          <w:noProof/>
          <w:sz w:val="18"/>
          <w:szCs w:val="24"/>
        </w:rPr>
        <w:t>Malaysia consumer confidence growth</w:t>
      </w:r>
      <w:r w:rsidRPr="001749E8">
        <w:rPr>
          <w:noProof/>
          <w:sz w:val="18"/>
          <w:szCs w:val="24"/>
        </w:rPr>
        <w:t>. https://www.ceicdata.com/en/indicator/malaysia/consumer-confidence-net-balance.</w:t>
      </w:r>
    </w:p>
    <w:p w14:paraId="48BB0754"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Ekhayemhe, A. J., &amp; Oguzie, S. (2018). Assessing the Relationship between Rewards and Employees ’ Motivation in Some Selected Non-Profit Organizations in Abuja , Nigeria. </w:t>
      </w:r>
      <w:r w:rsidRPr="001749E8">
        <w:rPr>
          <w:i/>
          <w:iCs/>
          <w:noProof/>
          <w:sz w:val="18"/>
          <w:szCs w:val="24"/>
        </w:rPr>
        <w:t>Journal of Accounting and Apllied Business Research</w:t>
      </w:r>
      <w:r w:rsidRPr="001749E8">
        <w:rPr>
          <w:noProof/>
          <w:sz w:val="18"/>
          <w:szCs w:val="24"/>
        </w:rPr>
        <w:t xml:space="preserve">, </w:t>
      </w:r>
      <w:r w:rsidRPr="001749E8">
        <w:rPr>
          <w:i/>
          <w:iCs/>
          <w:noProof/>
          <w:sz w:val="18"/>
          <w:szCs w:val="24"/>
        </w:rPr>
        <w:t>1</w:t>
      </w:r>
      <w:r w:rsidRPr="001749E8">
        <w:rPr>
          <w:noProof/>
          <w:sz w:val="18"/>
          <w:szCs w:val="24"/>
        </w:rPr>
        <w:t>(1), 1–14.</w:t>
      </w:r>
    </w:p>
    <w:p w14:paraId="4A150DF0"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Fauzi, P. N. F. M., &amp; Rashid, K. A. R. (2016). Takaful : a review on performance , issues and challenges in Malaysia. </w:t>
      </w:r>
      <w:r w:rsidRPr="001749E8">
        <w:rPr>
          <w:i/>
          <w:iCs/>
          <w:noProof/>
          <w:sz w:val="18"/>
          <w:szCs w:val="24"/>
        </w:rPr>
        <w:t>Journal of Scientific Research and Development</w:t>
      </w:r>
      <w:r w:rsidRPr="001749E8">
        <w:rPr>
          <w:noProof/>
          <w:sz w:val="18"/>
          <w:szCs w:val="24"/>
        </w:rPr>
        <w:t xml:space="preserve">, </w:t>
      </w:r>
      <w:r w:rsidRPr="001749E8">
        <w:rPr>
          <w:i/>
          <w:iCs/>
          <w:noProof/>
          <w:sz w:val="18"/>
          <w:szCs w:val="24"/>
        </w:rPr>
        <w:t>3</w:t>
      </w:r>
      <w:r w:rsidRPr="001749E8">
        <w:rPr>
          <w:noProof/>
          <w:sz w:val="18"/>
          <w:szCs w:val="24"/>
        </w:rPr>
        <w:t>(4), 71–76. http://jsrad.org/wp-content/2016/Issue 4, 2016/12jj.pdf</w:t>
      </w:r>
    </w:p>
    <w:p w14:paraId="24C483A9"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Financial Stability and Payment System Report. (2016). Performance of the Insurance and Takaful Sector. In </w:t>
      </w:r>
      <w:r w:rsidRPr="001749E8">
        <w:rPr>
          <w:i/>
          <w:iCs/>
          <w:noProof/>
          <w:sz w:val="18"/>
          <w:szCs w:val="24"/>
        </w:rPr>
        <w:t>Insurance and Takaful Sector</w:t>
      </w:r>
      <w:r w:rsidRPr="001749E8">
        <w:rPr>
          <w:noProof/>
          <w:sz w:val="18"/>
          <w:szCs w:val="24"/>
        </w:rPr>
        <w:t>. https://www.bnm.gov.my/files/publication/fsps/en/2016/cp03.pdf</w:t>
      </w:r>
    </w:p>
    <w:p w14:paraId="21FBAB36"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Fitch Ratings. (2019). </w:t>
      </w:r>
      <w:r w:rsidRPr="001749E8">
        <w:rPr>
          <w:i/>
          <w:iCs/>
          <w:noProof/>
          <w:sz w:val="18"/>
          <w:szCs w:val="24"/>
        </w:rPr>
        <w:t>Government Push to Drive Takaful Growth in Malaysia</w:t>
      </w:r>
      <w:r w:rsidRPr="001749E8">
        <w:rPr>
          <w:noProof/>
          <w:sz w:val="18"/>
          <w:szCs w:val="24"/>
        </w:rPr>
        <w:t>. Fitch Ratings, Inc. https://www.fitchratings.com/research/insurance/government-push-to-drive-takaful-growth-in-malaysia-09-01-2019</w:t>
      </w:r>
    </w:p>
    <w:p w14:paraId="4EE3EEAA"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Hafifa, N., &amp; Ishak, I. (2017). Concept Paper: Customer Satisfaction in Malaysian Takaful Industry. </w:t>
      </w:r>
      <w:r w:rsidRPr="001749E8">
        <w:rPr>
          <w:i/>
          <w:iCs/>
          <w:noProof/>
          <w:sz w:val="18"/>
          <w:szCs w:val="24"/>
        </w:rPr>
        <w:t>International Journal of Academic Research in Business and Social Sciences</w:t>
      </w:r>
      <w:r w:rsidRPr="001749E8">
        <w:rPr>
          <w:noProof/>
          <w:sz w:val="18"/>
          <w:szCs w:val="24"/>
        </w:rPr>
        <w:t xml:space="preserve">, </w:t>
      </w:r>
      <w:r w:rsidRPr="001749E8">
        <w:rPr>
          <w:i/>
          <w:iCs/>
          <w:noProof/>
          <w:sz w:val="18"/>
          <w:szCs w:val="24"/>
        </w:rPr>
        <w:t>7</w:t>
      </w:r>
      <w:r w:rsidRPr="001749E8">
        <w:rPr>
          <w:noProof/>
          <w:sz w:val="18"/>
          <w:szCs w:val="24"/>
        </w:rPr>
        <w:t>(3), 380. https://doi.org/10.6007/IJARBSS/v7-i3/2743</w:t>
      </w:r>
    </w:p>
    <w:p w14:paraId="1947C481"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Hassan, R., Salman, S. A., Kassim, S., &amp; Majdi, H. (2018). Awareness and Knowledge of Takaful in Malaysia: A Survey of Malaysian Consumers. </w:t>
      </w:r>
      <w:r w:rsidRPr="001749E8">
        <w:rPr>
          <w:i/>
          <w:iCs/>
          <w:noProof/>
          <w:sz w:val="18"/>
          <w:szCs w:val="24"/>
        </w:rPr>
        <w:t xml:space="preserve">International Journal of Business </w:t>
      </w:r>
      <w:r w:rsidRPr="001749E8">
        <w:rPr>
          <w:i/>
          <w:iCs/>
          <w:noProof/>
          <w:sz w:val="18"/>
          <w:szCs w:val="24"/>
        </w:rPr>
        <w:lastRenderedPageBreak/>
        <w:t>and Social Science</w:t>
      </w:r>
      <w:r w:rsidRPr="001749E8">
        <w:rPr>
          <w:noProof/>
          <w:sz w:val="18"/>
          <w:szCs w:val="24"/>
        </w:rPr>
        <w:t xml:space="preserve">, </w:t>
      </w:r>
      <w:r w:rsidRPr="001749E8">
        <w:rPr>
          <w:i/>
          <w:iCs/>
          <w:noProof/>
          <w:sz w:val="18"/>
          <w:szCs w:val="24"/>
        </w:rPr>
        <w:t>9</w:t>
      </w:r>
      <w:r w:rsidRPr="001749E8">
        <w:rPr>
          <w:noProof/>
          <w:sz w:val="18"/>
          <w:szCs w:val="24"/>
        </w:rPr>
        <w:t>(11). https://doi.org/10.30845/ijbss.v9n11p6</w:t>
      </w:r>
    </w:p>
    <w:p w14:paraId="714A4D0C"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Hessian, M. ibrahim. (2019). The Impact of Managerial Ability on the Relation between ‎Real Earnings Management and Future Firm’s Performance: Applied Study. </w:t>
      </w:r>
      <w:r w:rsidRPr="001749E8">
        <w:rPr>
          <w:i/>
          <w:iCs/>
          <w:noProof/>
          <w:sz w:val="18"/>
          <w:szCs w:val="24"/>
        </w:rPr>
        <w:t>International ‎Journal of Business Ethics and Governance</w:t>
      </w:r>
      <w:r w:rsidRPr="001749E8">
        <w:rPr>
          <w:noProof/>
          <w:sz w:val="18"/>
          <w:szCs w:val="24"/>
        </w:rPr>
        <w:t xml:space="preserve">, </w:t>
      </w:r>
      <w:r w:rsidRPr="001749E8">
        <w:rPr>
          <w:i/>
          <w:iCs/>
          <w:noProof/>
          <w:sz w:val="18"/>
          <w:szCs w:val="24"/>
        </w:rPr>
        <w:t>1(3)</w:t>
      </w:r>
      <w:r w:rsidRPr="001749E8">
        <w:rPr>
          <w:noProof/>
          <w:sz w:val="18"/>
          <w:szCs w:val="24"/>
        </w:rPr>
        <w:t>(June 2018), 43–80.</w:t>
      </w:r>
    </w:p>
    <w:p w14:paraId="4A7AAA70"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Mahatma, I. G., Bakti, Y., Rakhmawati, T., Sumaedi, S., Widianti, T., Yarmen, M., &amp; Astrini, N. J. (2019). ScienceDirect Public transport users ’ WOM : an integration model of the theory of planned behavior , customer satisfaction theory , and personal norm theory. </w:t>
      </w:r>
      <w:r w:rsidRPr="001749E8">
        <w:rPr>
          <w:i/>
          <w:iCs/>
          <w:noProof/>
          <w:sz w:val="18"/>
          <w:szCs w:val="24"/>
        </w:rPr>
        <w:t>Transportation Research Procedia</w:t>
      </w:r>
      <w:r w:rsidRPr="001749E8">
        <w:rPr>
          <w:noProof/>
          <w:sz w:val="18"/>
          <w:szCs w:val="24"/>
        </w:rPr>
        <w:t xml:space="preserve">, </w:t>
      </w:r>
      <w:r w:rsidRPr="001749E8">
        <w:rPr>
          <w:i/>
          <w:iCs/>
          <w:noProof/>
          <w:sz w:val="18"/>
          <w:szCs w:val="24"/>
        </w:rPr>
        <w:t>00</w:t>
      </w:r>
      <w:r w:rsidRPr="001749E8">
        <w:rPr>
          <w:noProof/>
          <w:sz w:val="18"/>
          <w:szCs w:val="24"/>
        </w:rPr>
        <w:t>(May), 1–16. https://doi.org/10.1016/j.trpro.2020.08.117</w:t>
      </w:r>
    </w:p>
    <w:p w14:paraId="5EE965E0"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Mansor, K. A. (2015). A Study on Factors Influencing Muslim’s Consumers Preferences Towards Takaful Products In Malaysia. </w:t>
      </w:r>
      <w:r w:rsidRPr="001749E8">
        <w:rPr>
          <w:i/>
          <w:iCs/>
          <w:noProof/>
          <w:sz w:val="18"/>
          <w:szCs w:val="24"/>
        </w:rPr>
        <w:t>Revista Română de Statistică</w:t>
      </w:r>
      <w:r w:rsidRPr="001749E8">
        <w:rPr>
          <w:noProof/>
          <w:sz w:val="18"/>
          <w:szCs w:val="24"/>
        </w:rPr>
        <w:t xml:space="preserve">, </w:t>
      </w:r>
      <w:r w:rsidRPr="001749E8">
        <w:rPr>
          <w:i/>
          <w:iCs/>
          <w:noProof/>
          <w:sz w:val="18"/>
          <w:szCs w:val="24"/>
        </w:rPr>
        <w:t>63</w:t>
      </w:r>
      <w:r w:rsidRPr="001749E8">
        <w:rPr>
          <w:noProof/>
          <w:sz w:val="18"/>
          <w:szCs w:val="24"/>
        </w:rPr>
        <w:t>(2), 78–89.</w:t>
      </w:r>
    </w:p>
    <w:p w14:paraId="3AF61E63"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Md Husin, M. (2019). </w:t>
      </w:r>
      <w:r w:rsidRPr="001749E8">
        <w:rPr>
          <w:i/>
          <w:iCs/>
          <w:noProof/>
          <w:sz w:val="18"/>
          <w:szCs w:val="24"/>
        </w:rPr>
        <w:t>The Dynamics of Malaysian Takaful Market : Challenges and Future Prospects</w:t>
      </w:r>
      <w:r w:rsidRPr="001749E8">
        <w:rPr>
          <w:noProof/>
          <w:sz w:val="18"/>
          <w:szCs w:val="24"/>
        </w:rPr>
        <w:t xml:space="preserve">. </w:t>
      </w:r>
      <w:r w:rsidRPr="001749E8">
        <w:rPr>
          <w:i/>
          <w:iCs/>
          <w:noProof/>
          <w:sz w:val="18"/>
          <w:szCs w:val="24"/>
        </w:rPr>
        <w:t>2117</w:t>
      </w:r>
      <w:r w:rsidRPr="001749E8">
        <w:rPr>
          <w:noProof/>
          <w:sz w:val="18"/>
          <w:szCs w:val="24"/>
        </w:rPr>
        <w:t>, 131–137.</w:t>
      </w:r>
    </w:p>
    <w:p w14:paraId="0EF897E8"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Moghavvemi, S., Lee, S. T., &amp; Lee, S. P. (2018). Perceived overall service quality and customer satisfaction: A comparative analysis between local and foreign banks in Malaysia. </w:t>
      </w:r>
      <w:r w:rsidRPr="001749E8">
        <w:rPr>
          <w:i/>
          <w:iCs/>
          <w:noProof/>
          <w:sz w:val="18"/>
          <w:szCs w:val="24"/>
        </w:rPr>
        <w:t>International Journal of Bank Marketing</w:t>
      </w:r>
      <w:r w:rsidRPr="001749E8">
        <w:rPr>
          <w:noProof/>
          <w:sz w:val="18"/>
          <w:szCs w:val="24"/>
        </w:rPr>
        <w:t xml:space="preserve">, </w:t>
      </w:r>
      <w:r w:rsidRPr="001749E8">
        <w:rPr>
          <w:i/>
          <w:iCs/>
          <w:noProof/>
          <w:sz w:val="18"/>
          <w:szCs w:val="24"/>
        </w:rPr>
        <w:t>36</w:t>
      </w:r>
      <w:r w:rsidRPr="001749E8">
        <w:rPr>
          <w:noProof/>
          <w:sz w:val="18"/>
          <w:szCs w:val="24"/>
        </w:rPr>
        <w:t>(5), 908–930. https://doi.org/10.1108/IJBM-06-2017-0114</w:t>
      </w:r>
    </w:p>
    <w:p w14:paraId="71E84DE2"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Mohamed, O. E. B., &amp; Alhabshi, S. O. (2016). Factors Influencing the Penetration Rate of Malaysian Takāful Industry from Takāful Managers’ Perspective. </w:t>
      </w:r>
      <w:r w:rsidRPr="001749E8">
        <w:rPr>
          <w:i/>
          <w:iCs/>
          <w:noProof/>
          <w:sz w:val="18"/>
          <w:szCs w:val="24"/>
        </w:rPr>
        <w:t>The International Journal of Excellence in Islamic Banking and Finance</w:t>
      </w:r>
      <w:r w:rsidRPr="001749E8">
        <w:rPr>
          <w:noProof/>
          <w:sz w:val="18"/>
          <w:szCs w:val="24"/>
        </w:rPr>
        <w:t xml:space="preserve">, </w:t>
      </w:r>
      <w:r w:rsidRPr="001749E8">
        <w:rPr>
          <w:i/>
          <w:iCs/>
          <w:noProof/>
          <w:sz w:val="18"/>
          <w:szCs w:val="24"/>
        </w:rPr>
        <w:t>5</w:t>
      </w:r>
      <w:r w:rsidRPr="001749E8">
        <w:rPr>
          <w:noProof/>
          <w:sz w:val="18"/>
          <w:szCs w:val="24"/>
        </w:rPr>
        <w:t>(1), 1–13. https://doi.org/10.12816/0024362</w:t>
      </w:r>
    </w:p>
    <w:p w14:paraId="7800D68D"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Nugraheni, P., &amp; Muhammad, R. (2019). Innovation in the takaful industry: a strategy to expand the takaful market in Indonesia. </w:t>
      </w:r>
      <w:r w:rsidRPr="001749E8">
        <w:rPr>
          <w:i/>
          <w:iCs/>
          <w:noProof/>
          <w:sz w:val="18"/>
          <w:szCs w:val="24"/>
        </w:rPr>
        <w:t>Journal of Islamic Marketing</w:t>
      </w:r>
      <w:r w:rsidRPr="001749E8">
        <w:rPr>
          <w:noProof/>
          <w:sz w:val="18"/>
          <w:szCs w:val="24"/>
        </w:rPr>
        <w:t>. https://doi.org/10.1108/JIMA-08-2018-0143</w:t>
      </w:r>
    </w:p>
    <w:p w14:paraId="5333DE60"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Piaw, C. Y. (2012). Mastering research methods. In </w:t>
      </w:r>
      <w:r w:rsidRPr="001749E8">
        <w:rPr>
          <w:i/>
          <w:iCs/>
          <w:noProof/>
          <w:sz w:val="18"/>
          <w:szCs w:val="24"/>
        </w:rPr>
        <w:t>Journal</w:t>
      </w:r>
      <w:r w:rsidRPr="001749E8">
        <w:rPr>
          <w:noProof/>
          <w:sz w:val="18"/>
          <w:szCs w:val="24"/>
        </w:rPr>
        <w:t xml:space="preserve"> (Vol. 2, Issue 2012).</w:t>
      </w:r>
    </w:p>
    <w:p w14:paraId="07E6EC29"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Saeed, M. (2019). Challenges of Islamic Insurance (Takaful) Globally. </w:t>
      </w:r>
      <w:r w:rsidRPr="001749E8">
        <w:rPr>
          <w:i/>
          <w:iCs/>
          <w:noProof/>
          <w:sz w:val="18"/>
          <w:szCs w:val="24"/>
        </w:rPr>
        <w:t>COMSATS Journal of Islamic Finance</w:t>
      </w:r>
      <w:r w:rsidRPr="001749E8">
        <w:rPr>
          <w:noProof/>
          <w:sz w:val="18"/>
          <w:szCs w:val="24"/>
        </w:rPr>
        <w:t xml:space="preserve">, </w:t>
      </w:r>
      <w:r w:rsidRPr="001749E8">
        <w:rPr>
          <w:i/>
          <w:iCs/>
          <w:noProof/>
          <w:sz w:val="18"/>
          <w:szCs w:val="24"/>
        </w:rPr>
        <w:t>4(I)</w:t>
      </w:r>
      <w:r w:rsidRPr="001749E8">
        <w:rPr>
          <w:noProof/>
          <w:sz w:val="18"/>
          <w:szCs w:val="24"/>
        </w:rPr>
        <w:t>, 62–87.</w:t>
      </w:r>
    </w:p>
    <w:p w14:paraId="40FE87DC"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Shafieza Sazali, N. E., Ghazali, P. L., &amp; Awang, Z. (2019). The Weakness and Strength of Existing Takaful Model in Oil &amp; Gas Sector. </w:t>
      </w:r>
      <w:r w:rsidRPr="001749E8">
        <w:rPr>
          <w:i/>
          <w:iCs/>
          <w:noProof/>
          <w:sz w:val="18"/>
          <w:szCs w:val="24"/>
        </w:rPr>
        <w:t>Journal of Physics: Conference Series</w:t>
      </w:r>
      <w:r w:rsidRPr="001749E8">
        <w:rPr>
          <w:noProof/>
          <w:sz w:val="18"/>
          <w:szCs w:val="24"/>
        </w:rPr>
        <w:t xml:space="preserve">, </w:t>
      </w:r>
      <w:r w:rsidRPr="001749E8">
        <w:rPr>
          <w:i/>
          <w:iCs/>
          <w:noProof/>
          <w:sz w:val="18"/>
          <w:szCs w:val="24"/>
        </w:rPr>
        <w:t>1179</w:t>
      </w:r>
      <w:r w:rsidRPr="001749E8">
        <w:rPr>
          <w:noProof/>
          <w:sz w:val="18"/>
          <w:szCs w:val="24"/>
        </w:rPr>
        <w:t>(1). https://doi.org/10.1088/1742-6596/1179/1/012082</w:t>
      </w:r>
    </w:p>
    <w:p w14:paraId="7FAEC7C7"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Shaladdin, Z. F. M., Mokhtar, M. Z., &amp; Zawawi, N. H. M. (2018). Determinants of customer satisfaction in Takaful (islamic insurance) services in Malaysia. </w:t>
      </w:r>
      <w:r w:rsidRPr="001749E8">
        <w:rPr>
          <w:i/>
          <w:iCs/>
          <w:noProof/>
          <w:sz w:val="18"/>
          <w:szCs w:val="24"/>
        </w:rPr>
        <w:t>Jurnal Pengurusan</w:t>
      </w:r>
      <w:r w:rsidRPr="001749E8">
        <w:rPr>
          <w:noProof/>
          <w:sz w:val="18"/>
          <w:szCs w:val="24"/>
        </w:rPr>
        <w:t xml:space="preserve">, </w:t>
      </w:r>
      <w:r w:rsidRPr="001749E8">
        <w:rPr>
          <w:i/>
          <w:iCs/>
          <w:noProof/>
          <w:sz w:val="18"/>
          <w:szCs w:val="24"/>
        </w:rPr>
        <w:t>54</w:t>
      </w:r>
      <w:r w:rsidRPr="001749E8">
        <w:rPr>
          <w:noProof/>
          <w:sz w:val="18"/>
          <w:szCs w:val="24"/>
        </w:rPr>
        <w:t>(January). https://doi.org/10.17576/pengurusan-2018-54-16</w:t>
      </w:r>
    </w:p>
    <w:p w14:paraId="6F331AB8"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Shukor, S. A. (2020). Trust in takaful agents: antecedents and consequences. </w:t>
      </w:r>
      <w:r w:rsidRPr="001749E8">
        <w:rPr>
          <w:i/>
          <w:iCs/>
          <w:noProof/>
          <w:sz w:val="18"/>
          <w:szCs w:val="24"/>
        </w:rPr>
        <w:t>Journal of Islamic Accounting and Business Research</w:t>
      </w:r>
      <w:r w:rsidRPr="001749E8">
        <w:rPr>
          <w:noProof/>
          <w:sz w:val="18"/>
          <w:szCs w:val="24"/>
        </w:rPr>
        <w:t xml:space="preserve">, </w:t>
      </w:r>
      <w:r w:rsidRPr="001749E8">
        <w:rPr>
          <w:i/>
          <w:iCs/>
          <w:noProof/>
          <w:sz w:val="18"/>
          <w:szCs w:val="24"/>
        </w:rPr>
        <w:t>11</w:t>
      </w:r>
      <w:r w:rsidRPr="001749E8">
        <w:rPr>
          <w:noProof/>
          <w:sz w:val="18"/>
          <w:szCs w:val="24"/>
        </w:rPr>
        <w:t>(6), 1161–1174. https://doi.org/10.1108/JIABR-01-2018-0013</w:t>
      </w:r>
    </w:p>
    <w:p w14:paraId="169507BF"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Tseng, L. M. (2019). How customer orientation leads to customer satisfaction: Mediating mechanisms of service workers’ etiquette and creativity. </w:t>
      </w:r>
      <w:r w:rsidRPr="001749E8">
        <w:rPr>
          <w:i/>
          <w:iCs/>
          <w:noProof/>
          <w:sz w:val="18"/>
          <w:szCs w:val="24"/>
        </w:rPr>
        <w:t>International Journal of Bank Marketing</w:t>
      </w:r>
      <w:r w:rsidRPr="001749E8">
        <w:rPr>
          <w:noProof/>
          <w:sz w:val="18"/>
          <w:szCs w:val="24"/>
        </w:rPr>
        <w:t xml:space="preserve">, </w:t>
      </w:r>
      <w:r w:rsidRPr="001749E8">
        <w:rPr>
          <w:i/>
          <w:iCs/>
          <w:noProof/>
          <w:sz w:val="18"/>
          <w:szCs w:val="24"/>
        </w:rPr>
        <w:t>37</w:t>
      </w:r>
      <w:r w:rsidRPr="001749E8">
        <w:rPr>
          <w:noProof/>
          <w:sz w:val="18"/>
          <w:szCs w:val="24"/>
        </w:rPr>
        <w:t>(1), 210–225. https://doi.org/10.1108/IJBM-10-2017-0222</w:t>
      </w:r>
    </w:p>
    <w:p w14:paraId="6E56EA73"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Zain, N. R. M., &amp; Engku, E. R. A. (2017). An Analysis on Islamic Social Finance for Protection and Preservation of Maqāṣ id al- Sharī‘ah Nor Razinah Binti Mohd Zain. </w:t>
      </w:r>
      <w:r w:rsidRPr="001749E8">
        <w:rPr>
          <w:i/>
          <w:iCs/>
          <w:noProof/>
          <w:sz w:val="18"/>
          <w:szCs w:val="24"/>
        </w:rPr>
        <w:t>Journal of Islamic Finance</w:t>
      </w:r>
      <w:r w:rsidRPr="001749E8">
        <w:rPr>
          <w:noProof/>
          <w:sz w:val="18"/>
          <w:szCs w:val="24"/>
        </w:rPr>
        <w:t xml:space="preserve">, </w:t>
      </w:r>
      <w:r w:rsidRPr="001749E8">
        <w:rPr>
          <w:i/>
          <w:iCs/>
          <w:noProof/>
          <w:sz w:val="18"/>
          <w:szCs w:val="24"/>
        </w:rPr>
        <w:t>2117</w:t>
      </w:r>
      <w:r w:rsidRPr="001749E8">
        <w:rPr>
          <w:noProof/>
          <w:sz w:val="18"/>
          <w:szCs w:val="24"/>
        </w:rPr>
        <w:t>(Special issue), 133–141.</w:t>
      </w:r>
    </w:p>
    <w:p w14:paraId="176D233C" w14:textId="77777777" w:rsidR="002057B3" w:rsidRPr="001749E8" w:rsidRDefault="002057B3" w:rsidP="001749E8">
      <w:pPr>
        <w:pStyle w:val="ListParagraph"/>
        <w:numPr>
          <w:ilvl w:val="0"/>
          <w:numId w:val="22"/>
        </w:numPr>
        <w:jc w:val="both"/>
        <w:rPr>
          <w:noProof/>
          <w:sz w:val="18"/>
          <w:szCs w:val="24"/>
        </w:rPr>
      </w:pPr>
      <w:r w:rsidRPr="001749E8">
        <w:rPr>
          <w:noProof/>
          <w:sz w:val="18"/>
          <w:szCs w:val="24"/>
        </w:rPr>
        <w:t xml:space="preserve">Zakaria, Z., Azmi, N. M., Hassan, N. F. H. N., Salleh, W. A., Tajuddin, M. T. H. M., Sallem, N. R. M., &amp; Noor, J. M. M. (2016). The Intention to Purchase Life Insurance: A Case Study of Staff in Public Universities. </w:t>
      </w:r>
      <w:r w:rsidRPr="001749E8">
        <w:rPr>
          <w:i/>
          <w:iCs/>
          <w:noProof/>
          <w:sz w:val="18"/>
          <w:szCs w:val="24"/>
        </w:rPr>
        <w:t>Procedia Economics and Finance</w:t>
      </w:r>
      <w:r w:rsidRPr="001749E8">
        <w:rPr>
          <w:noProof/>
          <w:sz w:val="18"/>
          <w:szCs w:val="24"/>
        </w:rPr>
        <w:t xml:space="preserve">, </w:t>
      </w:r>
      <w:r w:rsidRPr="001749E8">
        <w:rPr>
          <w:i/>
          <w:iCs/>
          <w:noProof/>
          <w:sz w:val="18"/>
          <w:szCs w:val="24"/>
        </w:rPr>
        <w:t>37</w:t>
      </w:r>
      <w:r w:rsidRPr="001749E8">
        <w:rPr>
          <w:noProof/>
          <w:sz w:val="18"/>
          <w:szCs w:val="24"/>
        </w:rPr>
        <w:t>(16), 358–365. https://doi.org/10.1016/s2212-5671(16)30137-x</w:t>
      </w:r>
    </w:p>
    <w:p w14:paraId="50ED662D" w14:textId="77777777" w:rsidR="002057B3" w:rsidRPr="001749E8" w:rsidRDefault="002057B3" w:rsidP="001749E8">
      <w:pPr>
        <w:pStyle w:val="ListParagraph"/>
        <w:numPr>
          <w:ilvl w:val="0"/>
          <w:numId w:val="22"/>
        </w:numPr>
        <w:jc w:val="both"/>
        <w:rPr>
          <w:noProof/>
          <w:sz w:val="18"/>
        </w:rPr>
      </w:pPr>
      <w:r w:rsidRPr="001749E8">
        <w:rPr>
          <w:noProof/>
          <w:sz w:val="18"/>
          <w:szCs w:val="24"/>
        </w:rPr>
        <w:t xml:space="preserve">Zarunnaim, M., &amp; Wahab, H. (2018). The roles of health awareness and knowledge in medical takaful purchase intention. </w:t>
      </w:r>
      <w:r w:rsidRPr="001749E8">
        <w:rPr>
          <w:i/>
          <w:iCs/>
          <w:noProof/>
          <w:sz w:val="18"/>
          <w:szCs w:val="24"/>
        </w:rPr>
        <w:t>International Journal of Banking and Finance</w:t>
      </w:r>
      <w:r w:rsidRPr="001749E8">
        <w:rPr>
          <w:noProof/>
          <w:sz w:val="18"/>
          <w:szCs w:val="24"/>
        </w:rPr>
        <w:t xml:space="preserve">, </w:t>
      </w:r>
      <w:r w:rsidRPr="001749E8">
        <w:rPr>
          <w:i/>
          <w:iCs/>
          <w:noProof/>
          <w:sz w:val="18"/>
          <w:szCs w:val="24"/>
        </w:rPr>
        <w:t>14</w:t>
      </w:r>
      <w:r w:rsidRPr="001749E8">
        <w:rPr>
          <w:noProof/>
          <w:sz w:val="18"/>
          <w:szCs w:val="24"/>
        </w:rPr>
        <w:t>(1), 95–116.</w:t>
      </w:r>
    </w:p>
    <w:p w14:paraId="43873284" w14:textId="5436C275" w:rsidR="00510785" w:rsidRPr="00BE7294" w:rsidRDefault="00CA2A66" w:rsidP="001749E8">
      <w:pPr>
        <w:ind w:right="448" w:firstLine="0"/>
        <w:rPr>
          <w:sz w:val="18"/>
          <w:szCs w:val="18"/>
        </w:rPr>
      </w:pPr>
      <w:r>
        <w:fldChar w:fldCharType="end"/>
      </w:r>
    </w:p>
    <w:sectPr w:rsidR="00510785" w:rsidRPr="00BE7294" w:rsidSect="009F7FCE">
      <w:headerReference w:type="even" r:id="rId13"/>
      <w:headerReference w:type="default" r:id="rId14"/>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EC86E" w14:textId="77777777" w:rsidR="003E3379" w:rsidRDefault="003E3379">
      <w:r>
        <w:separator/>
      </w:r>
    </w:p>
  </w:endnote>
  <w:endnote w:type="continuationSeparator" w:id="0">
    <w:p w14:paraId="4CBDFCDC" w14:textId="77777777" w:rsidR="003E3379" w:rsidRDefault="003E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Jur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3793D" w14:textId="77777777" w:rsidR="003E3379" w:rsidRDefault="003E3379" w:rsidP="009F7FCE">
      <w:pPr>
        <w:ind w:firstLine="0"/>
      </w:pPr>
      <w:r>
        <w:separator/>
      </w:r>
    </w:p>
  </w:footnote>
  <w:footnote w:type="continuationSeparator" w:id="0">
    <w:p w14:paraId="04E6BB73" w14:textId="77777777" w:rsidR="003E3379" w:rsidRDefault="003E3379"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246129"/>
      <w:docPartObj>
        <w:docPartGallery w:val="Page Numbers (Top of Page)"/>
        <w:docPartUnique/>
      </w:docPartObj>
    </w:sdtPr>
    <w:sdtEndPr>
      <w:rPr>
        <w:noProof/>
      </w:rPr>
    </w:sdtEndPr>
    <w:sdtContent>
      <w:p w14:paraId="2D820781" w14:textId="2D1D8086" w:rsidR="00510785" w:rsidRDefault="005107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87328B" w14:textId="11B6D124" w:rsidR="00510785" w:rsidRDefault="00510785" w:rsidP="00F32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328C" w14:textId="77777777" w:rsidR="00510785" w:rsidRDefault="00510785" w:rsidP="002D48C5">
    <w:pPr>
      <w:pStyle w:val="Header"/>
      <w:jc w:val="right"/>
    </w:pPr>
    <w:r>
      <w:fldChar w:fldCharType="begin"/>
    </w:r>
    <w:r>
      <w:instrText>PAGE   \* MERGEFORMAT</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065"/>
    <w:multiLevelType w:val="hybridMultilevel"/>
    <w:tmpl w:val="37342502"/>
    <w:lvl w:ilvl="0" w:tplc="4409000F">
      <w:start w:val="1"/>
      <w:numFmt w:val="decimal"/>
      <w:lvlText w:val="%1."/>
      <w:lvlJc w:val="left"/>
      <w:pPr>
        <w:ind w:left="450" w:hanging="360"/>
      </w:pPr>
      <w:rPr>
        <w:rFonts w:hint="default"/>
      </w:rPr>
    </w:lvl>
    <w:lvl w:ilvl="1" w:tplc="44090019" w:tentative="1">
      <w:start w:val="1"/>
      <w:numFmt w:val="lowerLetter"/>
      <w:lvlText w:val="%2."/>
      <w:lvlJc w:val="left"/>
      <w:pPr>
        <w:ind w:left="1170" w:hanging="360"/>
      </w:pPr>
    </w:lvl>
    <w:lvl w:ilvl="2" w:tplc="4409001B" w:tentative="1">
      <w:start w:val="1"/>
      <w:numFmt w:val="lowerRoman"/>
      <w:lvlText w:val="%3."/>
      <w:lvlJc w:val="right"/>
      <w:pPr>
        <w:ind w:left="1890" w:hanging="180"/>
      </w:pPr>
    </w:lvl>
    <w:lvl w:ilvl="3" w:tplc="4409000F" w:tentative="1">
      <w:start w:val="1"/>
      <w:numFmt w:val="decimal"/>
      <w:lvlText w:val="%4."/>
      <w:lvlJc w:val="left"/>
      <w:pPr>
        <w:ind w:left="2610" w:hanging="360"/>
      </w:pPr>
    </w:lvl>
    <w:lvl w:ilvl="4" w:tplc="44090019" w:tentative="1">
      <w:start w:val="1"/>
      <w:numFmt w:val="lowerLetter"/>
      <w:lvlText w:val="%5."/>
      <w:lvlJc w:val="left"/>
      <w:pPr>
        <w:ind w:left="3330" w:hanging="360"/>
      </w:pPr>
    </w:lvl>
    <w:lvl w:ilvl="5" w:tplc="4409001B" w:tentative="1">
      <w:start w:val="1"/>
      <w:numFmt w:val="lowerRoman"/>
      <w:lvlText w:val="%6."/>
      <w:lvlJc w:val="right"/>
      <w:pPr>
        <w:ind w:left="4050" w:hanging="180"/>
      </w:pPr>
    </w:lvl>
    <w:lvl w:ilvl="6" w:tplc="4409000F" w:tentative="1">
      <w:start w:val="1"/>
      <w:numFmt w:val="decimal"/>
      <w:lvlText w:val="%7."/>
      <w:lvlJc w:val="left"/>
      <w:pPr>
        <w:ind w:left="4770" w:hanging="360"/>
      </w:pPr>
    </w:lvl>
    <w:lvl w:ilvl="7" w:tplc="44090019" w:tentative="1">
      <w:start w:val="1"/>
      <w:numFmt w:val="lowerLetter"/>
      <w:lvlText w:val="%8."/>
      <w:lvlJc w:val="left"/>
      <w:pPr>
        <w:ind w:left="5490" w:hanging="360"/>
      </w:pPr>
    </w:lvl>
    <w:lvl w:ilvl="8" w:tplc="4409001B" w:tentative="1">
      <w:start w:val="1"/>
      <w:numFmt w:val="lowerRoman"/>
      <w:lvlText w:val="%9."/>
      <w:lvlJc w:val="right"/>
      <w:pPr>
        <w:ind w:left="6210" w:hanging="180"/>
      </w:pPr>
    </w:lvl>
  </w:abstractNum>
  <w:abstractNum w:abstractNumId="1" w15:restartNumberingAfterBreak="0">
    <w:nsid w:val="08D51096"/>
    <w:multiLevelType w:val="multilevel"/>
    <w:tmpl w:val="5DE467D2"/>
    <w:lvl w:ilvl="0">
      <w:start w:val="2"/>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C52E2B"/>
    <w:multiLevelType w:val="multilevel"/>
    <w:tmpl w:val="1450A9B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1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D8727C"/>
    <w:multiLevelType w:val="multilevel"/>
    <w:tmpl w:val="5DE467D2"/>
    <w:lvl w:ilvl="0">
      <w:start w:val="2"/>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15:restartNumberingAfterBreak="0">
    <w:nsid w:val="2C4B6EDA"/>
    <w:multiLevelType w:val="hybridMultilevel"/>
    <w:tmpl w:val="C256F3B2"/>
    <w:lvl w:ilvl="0" w:tplc="4409000F">
      <w:start w:val="1"/>
      <w:numFmt w:val="decimal"/>
      <w:lvlText w:val="%1."/>
      <w:lvlJc w:val="left"/>
      <w:pPr>
        <w:ind w:left="450" w:hanging="360"/>
      </w:pPr>
      <w:rPr>
        <w:rFonts w:hint="default"/>
        <w:sz w:val="20"/>
      </w:rPr>
    </w:lvl>
    <w:lvl w:ilvl="1" w:tplc="44090019" w:tentative="1">
      <w:start w:val="1"/>
      <w:numFmt w:val="lowerLetter"/>
      <w:lvlText w:val="%2."/>
      <w:lvlJc w:val="left"/>
      <w:pPr>
        <w:ind w:left="1170" w:hanging="360"/>
      </w:pPr>
    </w:lvl>
    <w:lvl w:ilvl="2" w:tplc="4409001B" w:tentative="1">
      <w:start w:val="1"/>
      <w:numFmt w:val="lowerRoman"/>
      <w:lvlText w:val="%3."/>
      <w:lvlJc w:val="right"/>
      <w:pPr>
        <w:ind w:left="1890" w:hanging="180"/>
      </w:pPr>
    </w:lvl>
    <w:lvl w:ilvl="3" w:tplc="4409000F" w:tentative="1">
      <w:start w:val="1"/>
      <w:numFmt w:val="decimal"/>
      <w:lvlText w:val="%4."/>
      <w:lvlJc w:val="left"/>
      <w:pPr>
        <w:ind w:left="2610" w:hanging="360"/>
      </w:pPr>
    </w:lvl>
    <w:lvl w:ilvl="4" w:tplc="44090019" w:tentative="1">
      <w:start w:val="1"/>
      <w:numFmt w:val="lowerLetter"/>
      <w:lvlText w:val="%5."/>
      <w:lvlJc w:val="left"/>
      <w:pPr>
        <w:ind w:left="3330" w:hanging="360"/>
      </w:pPr>
    </w:lvl>
    <w:lvl w:ilvl="5" w:tplc="4409001B" w:tentative="1">
      <w:start w:val="1"/>
      <w:numFmt w:val="lowerRoman"/>
      <w:lvlText w:val="%6."/>
      <w:lvlJc w:val="right"/>
      <w:pPr>
        <w:ind w:left="4050" w:hanging="180"/>
      </w:pPr>
    </w:lvl>
    <w:lvl w:ilvl="6" w:tplc="4409000F" w:tentative="1">
      <w:start w:val="1"/>
      <w:numFmt w:val="decimal"/>
      <w:lvlText w:val="%7."/>
      <w:lvlJc w:val="left"/>
      <w:pPr>
        <w:ind w:left="4770" w:hanging="360"/>
      </w:pPr>
    </w:lvl>
    <w:lvl w:ilvl="7" w:tplc="44090019" w:tentative="1">
      <w:start w:val="1"/>
      <w:numFmt w:val="lowerLetter"/>
      <w:lvlText w:val="%8."/>
      <w:lvlJc w:val="left"/>
      <w:pPr>
        <w:ind w:left="5490" w:hanging="360"/>
      </w:pPr>
    </w:lvl>
    <w:lvl w:ilvl="8" w:tplc="4409001B" w:tentative="1">
      <w:start w:val="1"/>
      <w:numFmt w:val="lowerRoman"/>
      <w:lvlText w:val="%9."/>
      <w:lvlJc w:val="right"/>
      <w:pPr>
        <w:ind w:left="6210" w:hanging="180"/>
      </w:pPr>
    </w:lvl>
  </w:abstractNum>
  <w:abstractNum w:abstractNumId="6" w15:restartNumberingAfterBreak="0">
    <w:nsid w:val="38054667"/>
    <w:multiLevelType w:val="hybridMultilevel"/>
    <w:tmpl w:val="781648D6"/>
    <w:lvl w:ilvl="0" w:tplc="4409000F">
      <w:start w:val="1"/>
      <w:numFmt w:val="decimal"/>
      <w:lvlText w:val="%1."/>
      <w:lvlJc w:val="left"/>
      <w:pPr>
        <w:ind w:left="450" w:hanging="360"/>
      </w:pPr>
    </w:lvl>
    <w:lvl w:ilvl="1" w:tplc="44090019" w:tentative="1">
      <w:start w:val="1"/>
      <w:numFmt w:val="lowerLetter"/>
      <w:lvlText w:val="%2."/>
      <w:lvlJc w:val="left"/>
      <w:pPr>
        <w:ind w:left="1170" w:hanging="360"/>
      </w:pPr>
    </w:lvl>
    <w:lvl w:ilvl="2" w:tplc="4409001B" w:tentative="1">
      <w:start w:val="1"/>
      <w:numFmt w:val="lowerRoman"/>
      <w:lvlText w:val="%3."/>
      <w:lvlJc w:val="right"/>
      <w:pPr>
        <w:ind w:left="1890" w:hanging="180"/>
      </w:pPr>
    </w:lvl>
    <w:lvl w:ilvl="3" w:tplc="4409000F" w:tentative="1">
      <w:start w:val="1"/>
      <w:numFmt w:val="decimal"/>
      <w:lvlText w:val="%4."/>
      <w:lvlJc w:val="left"/>
      <w:pPr>
        <w:ind w:left="2610" w:hanging="360"/>
      </w:pPr>
    </w:lvl>
    <w:lvl w:ilvl="4" w:tplc="44090019" w:tentative="1">
      <w:start w:val="1"/>
      <w:numFmt w:val="lowerLetter"/>
      <w:lvlText w:val="%5."/>
      <w:lvlJc w:val="left"/>
      <w:pPr>
        <w:ind w:left="3330" w:hanging="360"/>
      </w:pPr>
    </w:lvl>
    <w:lvl w:ilvl="5" w:tplc="4409001B" w:tentative="1">
      <w:start w:val="1"/>
      <w:numFmt w:val="lowerRoman"/>
      <w:lvlText w:val="%6."/>
      <w:lvlJc w:val="right"/>
      <w:pPr>
        <w:ind w:left="4050" w:hanging="180"/>
      </w:pPr>
    </w:lvl>
    <w:lvl w:ilvl="6" w:tplc="4409000F" w:tentative="1">
      <w:start w:val="1"/>
      <w:numFmt w:val="decimal"/>
      <w:lvlText w:val="%7."/>
      <w:lvlJc w:val="left"/>
      <w:pPr>
        <w:ind w:left="4770" w:hanging="360"/>
      </w:pPr>
    </w:lvl>
    <w:lvl w:ilvl="7" w:tplc="44090019" w:tentative="1">
      <w:start w:val="1"/>
      <w:numFmt w:val="lowerLetter"/>
      <w:lvlText w:val="%8."/>
      <w:lvlJc w:val="left"/>
      <w:pPr>
        <w:ind w:left="5490" w:hanging="360"/>
      </w:pPr>
    </w:lvl>
    <w:lvl w:ilvl="8" w:tplc="4409001B" w:tentative="1">
      <w:start w:val="1"/>
      <w:numFmt w:val="lowerRoman"/>
      <w:lvlText w:val="%9."/>
      <w:lvlJc w:val="right"/>
      <w:pPr>
        <w:ind w:left="6210" w:hanging="180"/>
      </w:pPr>
    </w:lvl>
  </w:abstractNum>
  <w:abstractNum w:abstractNumId="7" w15:restartNumberingAfterBreak="0">
    <w:nsid w:val="3FA90655"/>
    <w:multiLevelType w:val="multilevel"/>
    <w:tmpl w:val="5DE467D2"/>
    <w:lvl w:ilvl="0">
      <w:start w:val="2"/>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D06D81"/>
    <w:multiLevelType w:val="hybridMultilevel"/>
    <w:tmpl w:val="CE925986"/>
    <w:lvl w:ilvl="0" w:tplc="4409001B">
      <w:start w:val="1"/>
      <w:numFmt w:val="lowerRoman"/>
      <w:lvlText w:val="%1."/>
      <w:lvlJc w:val="right"/>
      <w:pPr>
        <w:ind w:left="502" w:hanging="360"/>
      </w:p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9" w15:restartNumberingAfterBreak="0">
    <w:nsid w:val="4D6E3198"/>
    <w:multiLevelType w:val="hybridMultilevel"/>
    <w:tmpl w:val="B02C3E68"/>
    <w:lvl w:ilvl="0" w:tplc="4409000F">
      <w:start w:val="1"/>
      <w:numFmt w:val="decimal"/>
      <w:lvlText w:val="%1."/>
      <w:lvlJc w:val="left"/>
      <w:pPr>
        <w:ind w:left="720" w:hanging="360"/>
      </w:pPr>
      <w:rPr>
        <w:rFonts w:hint="default"/>
        <w:sz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57E16DC"/>
    <w:multiLevelType w:val="multilevel"/>
    <w:tmpl w:val="0218A1F0"/>
    <w:lvl w:ilvl="0">
      <w:start w:val="1"/>
      <w:numFmt w:val="decimal"/>
      <w:lvlText w:val="%1."/>
      <w:lvlJc w:val="left"/>
      <w:pPr>
        <w:ind w:left="502" w:hanging="360"/>
      </w:pPr>
      <w:rPr>
        <w:rFonts w:hint="default"/>
        <w:b/>
        <w:b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15:restartNumberingAfterBreak="0">
    <w:nsid w:val="55C524AC"/>
    <w:multiLevelType w:val="hybridMultilevel"/>
    <w:tmpl w:val="F8C65E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3" w15:restartNumberingAfterBreak="0">
    <w:nsid w:val="71AA585C"/>
    <w:multiLevelType w:val="hybridMultilevel"/>
    <w:tmpl w:val="B43CDF70"/>
    <w:lvl w:ilvl="0" w:tplc="4409000F">
      <w:start w:val="1"/>
      <w:numFmt w:val="decimal"/>
      <w:lvlText w:val="%1."/>
      <w:lvlJc w:val="left"/>
      <w:pPr>
        <w:ind w:left="360" w:hanging="360"/>
      </w:pPr>
    </w:lvl>
    <w:lvl w:ilvl="1" w:tplc="4409000F">
      <w:start w:val="1"/>
      <w:numFmt w:val="decimal"/>
      <w:lvlText w:val="%2."/>
      <w:lvlJc w:val="left"/>
      <w:pPr>
        <w:ind w:left="796" w:hanging="360"/>
      </w:pPr>
    </w:lvl>
    <w:lvl w:ilvl="2" w:tplc="4409001B">
      <w:start w:val="1"/>
      <w:numFmt w:val="lowerRoman"/>
      <w:lvlText w:val="%3."/>
      <w:lvlJc w:val="right"/>
      <w:pPr>
        <w:ind w:left="1516" w:hanging="180"/>
      </w:pPr>
    </w:lvl>
    <w:lvl w:ilvl="3" w:tplc="4409000F">
      <w:start w:val="1"/>
      <w:numFmt w:val="decimal"/>
      <w:lvlText w:val="%4."/>
      <w:lvlJc w:val="left"/>
      <w:pPr>
        <w:ind w:left="2236" w:hanging="360"/>
      </w:pPr>
    </w:lvl>
    <w:lvl w:ilvl="4" w:tplc="44090019">
      <w:start w:val="1"/>
      <w:numFmt w:val="lowerLetter"/>
      <w:lvlText w:val="%5."/>
      <w:lvlJc w:val="left"/>
      <w:pPr>
        <w:ind w:left="2956" w:hanging="360"/>
      </w:pPr>
    </w:lvl>
    <w:lvl w:ilvl="5" w:tplc="4409001B">
      <w:start w:val="1"/>
      <w:numFmt w:val="lowerRoman"/>
      <w:lvlText w:val="%6."/>
      <w:lvlJc w:val="right"/>
      <w:pPr>
        <w:ind w:left="3676" w:hanging="180"/>
      </w:pPr>
    </w:lvl>
    <w:lvl w:ilvl="6" w:tplc="4409000F">
      <w:start w:val="1"/>
      <w:numFmt w:val="decimal"/>
      <w:lvlText w:val="%7."/>
      <w:lvlJc w:val="left"/>
      <w:pPr>
        <w:ind w:left="4396" w:hanging="360"/>
      </w:pPr>
    </w:lvl>
    <w:lvl w:ilvl="7" w:tplc="44090019">
      <w:start w:val="1"/>
      <w:numFmt w:val="lowerLetter"/>
      <w:lvlText w:val="%8."/>
      <w:lvlJc w:val="left"/>
      <w:pPr>
        <w:ind w:left="5116" w:hanging="360"/>
      </w:pPr>
    </w:lvl>
    <w:lvl w:ilvl="8" w:tplc="4409001B">
      <w:start w:val="1"/>
      <w:numFmt w:val="lowerRoman"/>
      <w:lvlText w:val="%9."/>
      <w:lvlJc w:val="right"/>
      <w:pPr>
        <w:ind w:left="5836" w:hanging="180"/>
      </w:pPr>
    </w:lvl>
  </w:abstractNum>
  <w:abstractNum w:abstractNumId="14" w15:restartNumberingAfterBreak="0">
    <w:nsid w:val="7738779A"/>
    <w:multiLevelType w:val="multilevel"/>
    <w:tmpl w:val="AF443626"/>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4"/>
  </w:num>
  <w:num w:numId="2">
    <w:abstractNumId w:val="4"/>
  </w:num>
  <w:num w:numId="3">
    <w:abstractNumId w:val="12"/>
  </w:num>
  <w:num w:numId="4">
    <w:abstractNumId w:val="12"/>
  </w:num>
  <w:num w:numId="5">
    <w:abstractNumId w:val="15"/>
  </w:num>
  <w:num w:numId="6">
    <w:abstractNumId w:val="15"/>
  </w:num>
  <w:num w:numId="7">
    <w:abstractNumId w:val="14"/>
    <w:lvlOverride w:ilvl="0">
      <w:lvl w:ilvl="0">
        <w:start w:val="1"/>
        <w:numFmt w:val="decimal"/>
        <w:pStyle w:val="heading1"/>
        <w:lvlText w:val="%1"/>
        <w:lvlJc w:val="left"/>
        <w:pPr>
          <w:tabs>
            <w:tab w:val="num" w:pos="567"/>
          </w:tabs>
          <w:ind w:left="567" w:hanging="567"/>
        </w:pPr>
        <w:rPr>
          <w:rFonts w:hint="default"/>
          <w:sz w:val="24"/>
          <w:szCs w:val="24"/>
        </w:rPr>
      </w:lvl>
    </w:lvlOverride>
  </w:num>
  <w:num w:numId="8">
    <w:abstractNumId w:val="16"/>
  </w:num>
  <w:num w:numId="9">
    <w:abstractNumId w:val="16"/>
  </w:num>
  <w:num w:numId="10">
    <w:abstractNumId w:val="1"/>
  </w:num>
  <w:num w:numId="11">
    <w:abstractNumId w:val="10"/>
  </w:num>
  <w:num w:numId="12">
    <w:abstractNumId w:val="2"/>
  </w:num>
  <w:num w:numId="13">
    <w:abstractNumId w:val="8"/>
  </w:num>
  <w:num w:numId="14">
    <w:abstractNumId w:val="14"/>
  </w:num>
  <w:num w:numId="15">
    <w:abstractNumId w:val="7"/>
  </w:num>
  <w:num w:numId="16">
    <w:abstractNumId w:val="3"/>
  </w:num>
  <w:num w:numId="17">
    <w:abstractNumId w:val="9"/>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124CFC"/>
    <w:rsid w:val="00135288"/>
    <w:rsid w:val="001749E8"/>
    <w:rsid w:val="001A02F0"/>
    <w:rsid w:val="001E10DC"/>
    <w:rsid w:val="001F3745"/>
    <w:rsid w:val="002057B3"/>
    <w:rsid w:val="002230C2"/>
    <w:rsid w:val="00253BB5"/>
    <w:rsid w:val="00263318"/>
    <w:rsid w:val="00263889"/>
    <w:rsid w:val="002D31C8"/>
    <w:rsid w:val="002D48C5"/>
    <w:rsid w:val="00320A0A"/>
    <w:rsid w:val="00325182"/>
    <w:rsid w:val="003E3379"/>
    <w:rsid w:val="003F582B"/>
    <w:rsid w:val="00405CF6"/>
    <w:rsid w:val="00452D9E"/>
    <w:rsid w:val="00475AE8"/>
    <w:rsid w:val="004E0A50"/>
    <w:rsid w:val="00510785"/>
    <w:rsid w:val="00515651"/>
    <w:rsid w:val="005379CA"/>
    <w:rsid w:val="005B6694"/>
    <w:rsid w:val="00613B33"/>
    <w:rsid w:val="00686F93"/>
    <w:rsid w:val="006A663B"/>
    <w:rsid w:val="006E642A"/>
    <w:rsid w:val="0071176D"/>
    <w:rsid w:val="007C2017"/>
    <w:rsid w:val="008F2D4C"/>
    <w:rsid w:val="009930E4"/>
    <w:rsid w:val="009B2539"/>
    <w:rsid w:val="009F7FCE"/>
    <w:rsid w:val="00A3000F"/>
    <w:rsid w:val="00B213BE"/>
    <w:rsid w:val="00B23481"/>
    <w:rsid w:val="00BE7294"/>
    <w:rsid w:val="00C13601"/>
    <w:rsid w:val="00CA2A66"/>
    <w:rsid w:val="00CA6C94"/>
    <w:rsid w:val="00CF28B8"/>
    <w:rsid w:val="00CF2DD6"/>
    <w:rsid w:val="00D303DE"/>
    <w:rsid w:val="00D74DA2"/>
    <w:rsid w:val="00DC2CA9"/>
    <w:rsid w:val="00DC3632"/>
    <w:rsid w:val="00E603C7"/>
    <w:rsid w:val="00F321B4"/>
    <w:rsid w:val="00F531B3"/>
    <w:rsid w:val="00FA3AB1"/>
    <w:rsid w:val="00FD015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3254"/>
  <w15:docId w15:val="{ED63B9D9-A04F-49F8-8089-FAA7B396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14"/>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link w:val="HeaderChar"/>
    <w:uiPriority w:val="99"/>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odyText">
    <w:name w:val="Body Text"/>
    <w:basedOn w:val="Normal"/>
    <w:link w:val="BodyTextChar"/>
    <w:uiPriority w:val="1"/>
    <w:qFormat/>
    <w:rsid w:val="001E10DC"/>
    <w:pPr>
      <w:widowControl w:val="0"/>
      <w:overflowPunct/>
      <w:adjustRightInd/>
      <w:spacing w:line="240" w:lineRule="auto"/>
      <w:ind w:firstLine="0"/>
      <w:jc w:val="left"/>
      <w:textAlignment w:val="auto"/>
    </w:pPr>
    <w:rPr>
      <w:sz w:val="24"/>
      <w:szCs w:val="24"/>
    </w:rPr>
  </w:style>
  <w:style w:type="character" w:customStyle="1" w:styleId="BodyTextChar">
    <w:name w:val="Body Text Char"/>
    <w:basedOn w:val="DefaultParagraphFont"/>
    <w:link w:val="BodyText"/>
    <w:uiPriority w:val="1"/>
    <w:rsid w:val="001E10DC"/>
    <w:rPr>
      <w:sz w:val="24"/>
      <w:szCs w:val="24"/>
    </w:rPr>
  </w:style>
  <w:style w:type="paragraph" w:customStyle="1" w:styleId="abstracticbt">
    <w:name w:val="abstract icbt"/>
    <w:basedOn w:val="abstract"/>
    <w:link w:val="abstracticbtChar"/>
    <w:qFormat/>
    <w:rsid w:val="001E10DC"/>
    <w:pPr>
      <w:ind w:firstLine="0"/>
    </w:pPr>
    <w:rPr>
      <w:b/>
      <w:bCs/>
    </w:rPr>
  </w:style>
  <w:style w:type="paragraph" w:styleId="ListParagraph">
    <w:name w:val="List Paragraph"/>
    <w:basedOn w:val="Normal"/>
    <w:uiPriority w:val="1"/>
    <w:qFormat/>
    <w:rsid w:val="00405CF6"/>
    <w:pPr>
      <w:widowControl w:val="0"/>
      <w:overflowPunct/>
      <w:adjustRightInd/>
      <w:spacing w:line="240" w:lineRule="auto"/>
      <w:ind w:left="1033" w:hanging="361"/>
      <w:jc w:val="left"/>
      <w:textAlignment w:val="auto"/>
    </w:pPr>
    <w:rPr>
      <w:sz w:val="22"/>
      <w:szCs w:val="22"/>
    </w:rPr>
  </w:style>
  <w:style w:type="character" w:customStyle="1" w:styleId="abstractChar">
    <w:name w:val="abstract Char"/>
    <w:basedOn w:val="DefaultParagraphFont"/>
    <w:link w:val="abstract"/>
    <w:rsid w:val="001E10DC"/>
    <w:rPr>
      <w:sz w:val="18"/>
    </w:rPr>
  </w:style>
  <w:style w:type="character" w:customStyle="1" w:styleId="abstracticbtChar">
    <w:name w:val="abstract icbt Char"/>
    <w:basedOn w:val="abstractChar"/>
    <w:link w:val="abstracticbt"/>
    <w:rsid w:val="001E10DC"/>
    <w:rPr>
      <w:b/>
      <w:bCs/>
      <w:sz w:val="18"/>
    </w:rPr>
  </w:style>
  <w:style w:type="paragraph" w:customStyle="1" w:styleId="TableParagraph">
    <w:name w:val="Table Paragraph"/>
    <w:basedOn w:val="Normal"/>
    <w:uiPriority w:val="1"/>
    <w:qFormat/>
    <w:rsid w:val="00405CF6"/>
    <w:pPr>
      <w:widowControl w:val="0"/>
      <w:overflowPunct/>
      <w:adjustRightInd/>
      <w:spacing w:line="256" w:lineRule="exact"/>
      <w:ind w:left="172" w:firstLine="0"/>
      <w:jc w:val="left"/>
      <w:textAlignment w:val="auto"/>
    </w:pPr>
    <w:rPr>
      <w:sz w:val="22"/>
      <w:szCs w:val="22"/>
    </w:rPr>
  </w:style>
  <w:style w:type="table" w:styleId="TableGrid">
    <w:name w:val="Table Grid"/>
    <w:basedOn w:val="TableNormal"/>
    <w:uiPriority w:val="59"/>
    <w:rsid w:val="00405CF6"/>
    <w:pPr>
      <w:spacing w:line="240" w:lineRule="auto"/>
    </w:pPr>
    <w:rPr>
      <w:rFonts w:ascii="Calibri" w:eastAsia="Calibri" w:hAnsi="Calibri" w:cs="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5CF6"/>
    <w:pPr>
      <w:spacing w:line="240" w:lineRule="auto"/>
    </w:pPr>
    <w:rPr>
      <w:rFonts w:ascii="Calibri" w:eastAsia="Calibri" w:hAnsi="Calibri" w:cs="Calibri"/>
      <w:sz w:val="22"/>
      <w:szCs w:val="22"/>
      <w:lang w:val="en-MY"/>
    </w:rPr>
  </w:style>
  <w:style w:type="character" w:customStyle="1" w:styleId="HeaderChar">
    <w:name w:val="Header Char"/>
    <w:basedOn w:val="DefaultParagraphFont"/>
    <w:link w:val="Header"/>
    <w:uiPriority w:val="99"/>
    <w:rsid w:val="004E0A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161">
      <w:bodyDiv w:val="1"/>
      <w:marLeft w:val="0"/>
      <w:marRight w:val="0"/>
      <w:marTop w:val="0"/>
      <w:marBottom w:val="0"/>
      <w:divBdr>
        <w:top w:val="none" w:sz="0" w:space="0" w:color="auto"/>
        <w:left w:val="none" w:sz="0" w:space="0" w:color="auto"/>
        <w:bottom w:val="none" w:sz="0" w:space="0" w:color="auto"/>
        <w:right w:val="none" w:sz="0" w:space="0" w:color="auto"/>
      </w:divBdr>
    </w:div>
    <w:div w:id="70584371">
      <w:bodyDiv w:val="1"/>
      <w:marLeft w:val="0"/>
      <w:marRight w:val="0"/>
      <w:marTop w:val="0"/>
      <w:marBottom w:val="0"/>
      <w:divBdr>
        <w:top w:val="none" w:sz="0" w:space="0" w:color="auto"/>
        <w:left w:val="none" w:sz="0" w:space="0" w:color="auto"/>
        <w:bottom w:val="none" w:sz="0" w:space="0" w:color="auto"/>
        <w:right w:val="none" w:sz="0" w:space="0" w:color="auto"/>
      </w:divBdr>
    </w:div>
    <w:div w:id="93936776">
      <w:bodyDiv w:val="1"/>
      <w:marLeft w:val="0"/>
      <w:marRight w:val="0"/>
      <w:marTop w:val="0"/>
      <w:marBottom w:val="0"/>
      <w:divBdr>
        <w:top w:val="none" w:sz="0" w:space="0" w:color="auto"/>
        <w:left w:val="none" w:sz="0" w:space="0" w:color="auto"/>
        <w:bottom w:val="none" w:sz="0" w:space="0" w:color="auto"/>
        <w:right w:val="none" w:sz="0" w:space="0" w:color="auto"/>
      </w:divBdr>
    </w:div>
    <w:div w:id="155726845">
      <w:bodyDiv w:val="1"/>
      <w:marLeft w:val="0"/>
      <w:marRight w:val="0"/>
      <w:marTop w:val="0"/>
      <w:marBottom w:val="0"/>
      <w:divBdr>
        <w:top w:val="none" w:sz="0" w:space="0" w:color="auto"/>
        <w:left w:val="none" w:sz="0" w:space="0" w:color="auto"/>
        <w:bottom w:val="none" w:sz="0" w:space="0" w:color="auto"/>
        <w:right w:val="none" w:sz="0" w:space="0" w:color="auto"/>
      </w:divBdr>
    </w:div>
    <w:div w:id="162091045">
      <w:bodyDiv w:val="1"/>
      <w:marLeft w:val="0"/>
      <w:marRight w:val="0"/>
      <w:marTop w:val="0"/>
      <w:marBottom w:val="0"/>
      <w:divBdr>
        <w:top w:val="none" w:sz="0" w:space="0" w:color="auto"/>
        <w:left w:val="none" w:sz="0" w:space="0" w:color="auto"/>
        <w:bottom w:val="none" w:sz="0" w:space="0" w:color="auto"/>
        <w:right w:val="none" w:sz="0" w:space="0" w:color="auto"/>
      </w:divBdr>
    </w:div>
    <w:div w:id="182745607">
      <w:bodyDiv w:val="1"/>
      <w:marLeft w:val="0"/>
      <w:marRight w:val="0"/>
      <w:marTop w:val="0"/>
      <w:marBottom w:val="0"/>
      <w:divBdr>
        <w:top w:val="none" w:sz="0" w:space="0" w:color="auto"/>
        <w:left w:val="none" w:sz="0" w:space="0" w:color="auto"/>
        <w:bottom w:val="none" w:sz="0" w:space="0" w:color="auto"/>
        <w:right w:val="none" w:sz="0" w:space="0" w:color="auto"/>
      </w:divBdr>
    </w:div>
    <w:div w:id="246765430">
      <w:bodyDiv w:val="1"/>
      <w:marLeft w:val="0"/>
      <w:marRight w:val="0"/>
      <w:marTop w:val="0"/>
      <w:marBottom w:val="0"/>
      <w:divBdr>
        <w:top w:val="none" w:sz="0" w:space="0" w:color="auto"/>
        <w:left w:val="none" w:sz="0" w:space="0" w:color="auto"/>
        <w:bottom w:val="none" w:sz="0" w:space="0" w:color="auto"/>
        <w:right w:val="none" w:sz="0" w:space="0" w:color="auto"/>
      </w:divBdr>
    </w:div>
    <w:div w:id="332728863">
      <w:bodyDiv w:val="1"/>
      <w:marLeft w:val="0"/>
      <w:marRight w:val="0"/>
      <w:marTop w:val="0"/>
      <w:marBottom w:val="0"/>
      <w:divBdr>
        <w:top w:val="none" w:sz="0" w:space="0" w:color="auto"/>
        <w:left w:val="none" w:sz="0" w:space="0" w:color="auto"/>
        <w:bottom w:val="none" w:sz="0" w:space="0" w:color="auto"/>
        <w:right w:val="none" w:sz="0" w:space="0" w:color="auto"/>
      </w:divBdr>
    </w:div>
    <w:div w:id="437607126">
      <w:bodyDiv w:val="1"/>
      <w:marLeft w:val="0"/>
      <w:marRight w:val="0"/>
      <w:marTop w:val="0"/>
      <w:marBottom w:val="0"/>
      <w:divBdr>
        <w:top w:val="none" w:sz="0" w:space="0" w:color="auto"/>
        <w:left w:val="none" w:sz="0" w:space="0" w:color="auto"/>
        <w:bottom w:val="none" w:sz="0" w:space="0" w:color="auto"/>
        <w:right w:val="none" w:sz="0" w:space="0" w:color="auto"/>
      </w:divBdr>
    </w:div>
    <w:div w:id="442503461">
      <w:bodyDiv w:val="1"/>
      <w:marLeft w:val="0"/>
      <w:marRight w:val="0"/>
      <w:marTop w:val="0"/>
      <w:marBottom w:val="0"/>
      <w:divBdr>
        <w:top w:val="none" w:sz="0" w:space="0" w:color="auto"/>
        <w:left w:val="none" w:sz="0" w:space="0" w:color="auto"/>
        <w:bottom w:val="none" w:sz="0" w:space="0" w:color="auto"/>
        <w:right w:val="none" w:sz="0" w:space="0" w:color="auto"/>
      </w:divBdr>
    </w:div>
    <w:div w:id="473254200">
      <w:bodyDiv w:val="1"/>
      <w:marLeft w:val="0"/>
      <w:marRight w:val="0"/>
      <w:marTop w:val="0"/>
      <w:marBottom w:val="0"/>
      <w:divBdr>
        <w:top w:val="none" w:sz="0" w:space="0" w:color="auto"/>
        <w:left w:val="none" w:sz="0" w:space="0" w:color="auto"/>
        <w:bottom w:val="none" w:sz="0" w:space="0" w:color="auto"/>
        <w:right w:val="none" w:sz="0" w:space="0" w:color="auto"/>
      </w:divBdr>
    </w:div>
    <w:div w:id="582300541">
      <w:bodyDiv w:val="1"/>
      <w:marLeft w:val="0"/>
      <w:marRight w:val="0"/>
      <w:marTop w:val="0"/>
      <w:marBottom w:val="0"/>
      <w:divBdr>
        <w:top w:val="none" w:sz="0" w:space="0" w:color="auto"/>
        <w:left w:val="none" w:sz="0" w:space="0" w:color="auto"/>
        <w:bottom w:val="none" w:sz="0" w:space="0" w:color="auto"/>
        <w:right w:val="none" w:sz="0" w:space="0" w:color="auto"/>
      </w:divBdr>
    </w:div>
    <w:div w:id="587007162">
      <w:bodyDiv w:val="1"/>
      <w:marLeft w:val="0"/>
      <w:marRight w:val="0"/>
      <w:marTop w:val="0"/>
      <w:marBottom w:val="0"/>
      <w:divBdr>
        <w:top w:val="none" w:sz="0" w:space="0" w:color="auto"/>
        <w:left w:val="none" w:sz="0" w:space="0" w:color="auto"/>
        <w:bottom w:val="none" w:sz="0" w:space="0" w:color="auto"/>
        <w:right w:val="none" w:sz="0" w:space="0" w:color="auto"/>
      </w:divBdr>
    </w:div>
    <w:div w:id="627902300">
      <w:bodyDiv w:val="1"/>
      <w:marLeft w:val="0"/>
      <w:marRight w:val="0"/>
      <w:marTop w:val="0"/>
      <w:marBottom w:val="0"/>
      <w:divBdr>
        <w:top w:val="none" w:sz="0" w:space="0" w:color="auto"/>
        <w:left w:val="none" w:sz="0" w:space="0" w:color="auto"/>
        <w:bottom w:val="none" w:sz="0" w:space="0" w:color="auto"/>
        <w:right w:val="none" w:sz="0" w:space="0" w:color="auto"/>
      </w:divBdr>
    </w:div>
    <w:div w:id="765155490">
      <w:bodyDiv w:val="1"/>
      <w:marLeft w:val="0"/>
      <w:marRight w:val="0"/>
      <w:marTop w:val="0"/>
      <w:marBottom w:val="0"/>
      <w:divBdr>
        <w:top w:val="none" w:sz="0" w:space="0" w:color="auto"/>
        <w:left w:val="none" w:sz="0" w:space="0" w:color="auto"/>
        <w:bottom w:val="none" w:sz="0" w:space="0" w:color="auto"/>
        <w:right w:val="none" w:sz="0" w:space="0" w:color="auto"/>
      </w:divBdr>
    </w:div>
    <w:div w:id="831723444">
      <w:bodyDiv w:val="1"/>
      <w:marLeft w:val="0"/>
      <w:marRight w:val="0"/>
      <w:marTop w:val="0"/>
      <w:marBottom w:val="0"/>
      <w:divBdr>
        <w:top w:val="none" w:sz="0" w:space="0" w:color="auto"/>
        <w:left w:val="none" w:sz="0" w:space="0" w:color="auto"/>
        <w:bottom w:val="none" w:sz="0" w:space="0" w:color="auto"/>
        <w:right w:val="none" w:sz="0" w:space="0" w:color="auto"/>
      </w:divBdr>
    </w:div>
    <w:div w:id="884676876">
      <w:bodyDiv w:val="1"/>
      <w:marLeft w:val="0"/>
      <w:marRight w:val="0"/>
      <w:marTop w:val="0"/>
      <w:marBottom w:val="0"/>
      <w:divBdr>
        <w:top w:val="none" w:sz="0" w:space="0" w:color="auto"/>
        <w:left w:val="none" w:sz="0" w:space="0" w:color="auto"/>
        <w:bottom w:val="none" w:sz="0" w:space="0" w:color="auto"/>
        <w:right w:val="none" w:sz="0" w:space="0" w:color="auto"/>
      </w:divBdr>
    </w:div>
    <w:div w:id="911816728">
      <w:bodyDiv w:val="1"/>
      <w:marLeft w:val="0"/>
      <w:marRight w:val="0"/>
      <w:marTop w:val="0"/>
      <w:marBottom w:val="0"/>
      <w:divBdr>
        <w:top w:val="none" w:sz="0" w:space="0" w:color="auto"/>
        <w:left w:val="none" w:sz="0" w:space="0" w:color="auto"/>
        <w:bottom w:val="none" w:sz="0" w:space="0" w:color="auto"/>
        <w:right w:val="none" w:sz="0" w:space="0" w:color="auto"/>
      </w:divBdr>
    </w:div>
    <w:div w:id="955872870">
      <w:bodyDiv w:val="1"/>
      <w:marLeft w:val="0"/>
      <w:marRight w:val="0"/>
      <w:marTop w:val="0"/>
      <w:marBottom w:val="0"/>
      <w:divBdr>
        <w:top w:val="none" w:sz="0" w:space="0" w:color="auto"/>
        <w:left w:val="none" w:sz="0" w:space="0" w:color="auto"/>
        <w:bottom w:val="none" w:sz="0" w:space="0" w:color="auto"/>
        <w:right w:val="none" w:sz="0" w:space="0" w:color="auto"/>
      </w:divBdr>
    </w:div>
    <w:div w:id="971980511">
      <w:bodyDiv w:val="1"/>
      <w:marLeft w:val="0"/>
      <w:marRight w:val="0"/>
      <w:marTop w:val="0"/>
      <w:marBottom w:val="0"/>
      <w:divBdr>
        <w:top w:val="none" w:sz="0" w:space="0" w:color="auto"/>
        <w:left w:val="none" w:sz="0" w:space="0" w:color="auto"/>
        <w:bottom w:val="none" w:sz="0" w:space="0" w:color="auto"/>
        <w:right w:val="none" w:sz="0" w:space="0" w:color="auto"/>
      </w:divBdr>
    </w:div>
    <w:div w:id="999623525">
      <w:bodyDiv w:val="1"/>
      <w:marLeft w:val="0"/>
      <w:marRight w:val="0"/>
      <w:marTop w:val="0"/>
      <w:marBottom w:val="0"/>
      <w:divBdr>
        <w:top w:val="none" w:sz="0" w:space="0" w:color="auto"/>
        <w:left w:val="none" w:sz="0" w:space="0" w:color="auto"/>
        <w:bottom w:val="none" w:sz="0" w:space="0" w:color="auto"/>
        <w:right w:val="none" w:sz="0" w:space="0" w:color="auto"/>
      </w:divBdr>
    </w:div>
    <w:div w:id="1135830679">
      <w:bodyDiv w:val="1"/>
      <w:marLeft w:val="0"/>
      <w:marRight w:val="0"/>
      <w:marTop w:val="0"/>
      <w:marBottom w:val="0"/>
      <w:divBdr>
        <w:top w:val="none" w:sz="0" w:space="0" w:color="auto"/>
        <w:left w:val="none" w:sz="0" w:space="0" w:color="auto"/>
        <w:bottom w:val="none" w:sz="0" w:space="0" w:color="auto"/>
        <w:right w:val="none" w:sz="0" w:space="0" w:color="auto"/>
      </w:divBdr>
    </w:div>
    <w:div w:id="1172064219">
      <w:bodyDiv w:val="1"/>
      <w:marLeft w:val="0"/>
      <w:marRight w:val="0"/>
      <w:marTop w:val="0"/>
      <w:marBottom w:val="0"/>
      <w:divBdr>
        <w:top w:val="none" w:sz="0" w:space="0" w:color="auto"/>
        <w:left w:val="none" w:sz="0" w:space="0" w:color="auto"/>
        <w:bottom w:val="none" w:sz="0" w:space="0" w:color="auto"/>
        <w:right w:val="none" w:sz="0" w:space="0" w:color="auto"/>
      </w:divBdr>
    </w:div>
    <w:div w:id="1191262800">
      <w:bodyDiv w:val="1"/>
      <w:marLeft w:val="0"/>
      <w:marRight w:val="0"/>
      <w:marTop w:val="0"/>
      <w:marBottom w:val="0"/>
      <w:divBdr>
        <w:top w:val="none" w:sz="0" w:space="0" w:color="auto"/>
        <w:left w:val="none" w:sz="0" w:space="0" w:color="auto"/>
        <w:bottom w:val="none" w:sz="0" w:space="0" w:color="auto"/>
        <w:right w:val="none" w:sz="0" w:space="0" w:color="auto"/>
      </w:divBdr>
    </w:div>
    <w:div w:id="1217468423">
      <w:bodyDiv w:val="1"/>
      <w:marLeft w:val="0"/>
      <w:marRight w:val="0"/>
      <w:marTop w:val="0"/>
      <w:marBottom w:val="0"/>
      <w:divBdr>
        <w:top w:val="none" w:sz="0" w:space="0" w:color="auto"/>
        <w:left w:val="none" w:sz="0" w:space="0" w:color="auto"/>
        <w:bottom w:val="none" w:sz="0" w:space="0" w:color="auto"/>
        <w:right w:val="none" w:sz="0" w:space="0" w:color="auto"/>
      </w:divBdr>
    </w:div>
    <w:div w:id="1243678934">
      <w:bodyDiv w:val="1"/>
      <w:marLeft w:val="0"/>
      <w:marRight w:val="0"/>
      <w:marTop w:val="0"/>
      <w:marBottom w:val="0"/>
      <w:divBdr>
        <w:top w:val="none" w:sz="0" w:space="0" w:color="auto"/>
        <w:left w:val="none" w:sz="0" w:space="0" w:color="auto"/>
        <w:bottom w:val="none" w:sz="0" w:space="0" w:color="auto"/>
        <w:right w:val="none" w:sz="0" w:space="0" w:color="auto"/>
      </w:divBdr>
    </w:div>
    <w:div w:id="1395006618">
      <w:bodyDiv w:val="1"/>
      <w:marLeft w:val="0"/>
      <w:marRight w:val="0"/>
      <w:marTop w:val="0"/>
      <w:marBottom w:val="0"/>
      <w:divBdr>
        <w:top w:val="none" w:sz="0" w:space="0" w:color="auto"/>
        <w:left w:val="none" w:sz="0" w:space="0" w:color="auto"/>
        <w:bottom w:val="none" w:sz="0" w:space="0" w:color="auto"/>
        <w:right w:val="none" w:sz="0" w:space="0" w:color="auto"/>
      </w:divBdr>
    </w:div>
    <w:div w:id="1418558564">
      <w:bodyDiv w:val="1"/>
      <w:marLeft w:val="0"/>
      <w:marRight w:val="0"/>
      <w:marTop w:val="0"/>
      <w:marBottom w:val="0"/>
      <w:divBdr>
        <w:top w:val="none" w:sz="0" w:space="0" w:color="auto"/>
        <w:left w:val="none" w:sz="0" w:space="0" w:color="auto"/>
        <w:bottom w:val="none" w:sz="0" w:space="0" w:color="auto"/>
        <w:right w:val="none" w:sz="0" w:space="0" w:color="auto"/>
      </w:divBdr>
    </w:div>
    <w:div w:id="1482965816">
      <w:bodyDiv w:val="1"/>
      <w:marLeft w:val="0"/>
      <w:marRight w:val="0"/>
      <w:marTop w:val="0"/>
      <w:marBottom w:val="0"/>
      <w:divBdr>
        <w:top w:val="none" w:sz="0" w:space="0" w:color="auto"/>
        <w:left w:val="none" w:sz="0" w:space="0" w:color="auto"/>
        <w:bottom w:val="none" w:sz="0" w:space="0" w:color="auto"/>
        <w:right w:val="none" w:sz="0" w:space="0" w:color="auto"/>
      </w:divBdr>
    </w:div>
    <w:div w:id="1501117009">
      <w:bodyDiv w:val="1"/>
      <w:marLeft w:val="0"/>
      <w:marRight w:val="0"/>
      <w:marTop w:val="0"/>
      <w:marBottom w:val="0"/>
      <w:divBdr>
        <w:top w:val="none" w:sz="0" w:space="0" w:color="auto"/>
        <w:left w:val="none" w:sz="0" w:space="0" w:color="auto"/>
        <w:bottom w:val="none" w:sz="0" w:space="0" w:color="auto"/>
        <w:right w:val="none" w:sz="0" w:space="0" w:color="auto"/>
      </w:divBdr>
    </w:div>
    <w:div w:id="1519463805">
      <w:bodyDiv w:val="1"/>
      <w:marLeft w:val="0"/>
      <w:marRight w:val="0"/>
      <w:marTop w:val="0"/>
      <w:marBottom w:val="0"/>
      <w:divBdr>
        <w:top w:val="none" w:sz="0" w:space="0" w:color="auto"/>
        <w:left w:val="none" w:sz="0" w:space="0" w:color="auto"/>
        <w:bottom w:val="none" w:sz="0" w:space="0" w:color="auto"/>
        <w:right w:val="none" w:sz="0" w:space="0" w:color="auto"/>
      </w:divBdr>
    </w:div>
    <w:div w:id="1519658093">
      <w:bodyDiv w:val="1"/>
      <w:marLeft w:val="0"/>
      <w:marRight w:val="0"/>
      <w:marTop w:val="0"/>
      <w:marBottom w:val="0"/>
      <w:divBdr>
        <w:top w:val="none" w:sz="0" w:space="0" w:color="auto"/>
        <w:left w:val="none" w:sz="0" w:space="0" w:color="auto"/>
        <w:bottom w:val="none" w:sz="0" w:space="0" w:color="auto"/>
        <w:right w:val="none" w:sz="0" w:space="0" w:color="auto"/>
      </w:divBdr>
    </w:div>
    <w:div w:id="1598169114">
      <w:bodyDiv w:val="1"/>
      <w:marLeft w:val="0"/>
      <w:marRight w:val="0"/>
      <w:marTop w:val="0"/>
      <w:marBottom w:val="0"/>
      <w:divBdr>
        <w:top w:val="none" w:sz="0" w:space="0" w:color="auto"/>
        <w:left w:val="none" w:sz="0" w:space="0" w:color="auto"/>
        <w:bottom w:val="none" w:sz="0" w:space="0" w:color="auto"/>
        <w:right w:val="none" w:sz="0" w:space="0" w:color="auto"/>
      </w:divBdr>
    </w:div>
    <w:div w:id="1697151908">
      <w:bodyDiv w:val="1"/>
      <w:marLeft w:val="0"/>
      <w:marRight w:val="0"/>
      <w:marTop w:val="0"/>
      <w:marBottom w:val="0"/>
      <w:divBdr>
        <w:top w:val="none" w:sz="0" w:space="0" w:color="auto"/>
        <w:left w:val="none" w:sz="0" w:space="0" w:color="auto"/>
        <w:bottom w:val="none" w:sz="0" w:space="0" w:color="auto"/>
        <w:right w:val="none" w:sz="0" w:space="0" w:color="auto"/>
      </w:divBdr>
    </w:div>
    <w:div w:id="1766264154">
      <w:bodyDiv w:val="1"/>
      <w:marLeft w:val="0"/>
      <w:marRight w:val="0"/>
      <w:marTop w:val="0"/>
      <w:marBottom w:val="0"/>
      <w:divBdr>
        <w:top w:val="none" w:sz="0" w:space="0" w:color="auto"/>
        <w:left w:val="none" w:sz="0" w:space="0" w:color="auto"/>
        <w:bottom w:val="none" w:sz="0" w:space="0" w:color="auto"/>
        <w:right w:val="none" w:sz="0" w:space="0" w:color="auto"/>
      </w:divBdr>
    </w:div>
    <w:div w:id="1804032466">
      <w:bodyDiv w:val="1"/>
      <w:marLeft w:val="0"/>
      <w:marRight w:val="0"/>
      <w:marTop w:val="0"/>
      <w:marBottom w:val="0"/>
      <w:divBdr>
        <w:top w:val="none" w:sz="0" w:space="0" w:color="auto"/>
        <w:left w:val="none" w:sz="0" w:space="0" w:color="auto"/>
        <w:bottom w:val="none" w:sz="0" w:space="0" w:color="auto"/>
        <w:right w:val="none" w:sz="0" w:space="0" w:color="auto"/>
      </w:divBdr>
    </w:div>
    <w:div w:id="1815609690">
      <w:bodyDiv w:val="1"/>
      <w:marLeft w:val="0"/>
      <w:marRight w:val="0"/>
      <w:marTop w:val="0"/>
      <w:marBottom w:val="0"/>
      <w:divBdr>
        <w:top w:val="none" w:sz="0" w:space="0" w:color="auto"/>
        <w:left w:val="none" w:sz="0" w:space="0" w:color="auto"/>
        <w:bottom w:val="none" w:sz="0" w:space="0" w:color="auto"/>
        <w:right w:val="none" w:sz="0" w:space="0" w:color="auto"/>
      </w:divBdr>
    </w:div>
    <w:div w:id="2000499958">
      <w:bodyDiv w:val="1"/>
      <w:marLeft w:val="0"/>
      <w:marRight w:val="0"/>
      <w:marTop w:val="0"/>
      <w:marBottom w:val="0"/>
      <w:divBdr>
        <w:top w:val="none" w:sz="0" w:space="0" w:color="auto"/>
        <w:left w:val="none" w:sz="0" w:space="0" w:color="auto"/>
        <w:bottom w:val="none" w:sz="0" w:space="0" w:color="auto"/>
        <w:right w:val="none" w:sz="0" w:space="0" w:color="auto"/>
      </w:divBdr>
    </w:div>
    <w:div w:id="2024433497">
      <w:bodyDiv w:val="1"/>
      <w:marLeft w:val="0"/>
      <w:marRight w:val="0"/>
      <w:marTop w:val="0"/>
      <w:marBottom w:val="0"/>
      <w:divBdr>
        <w:top w:val="none" w:sz="0" w:space="0" w:color="auto"/>
        <w:left w:val="none" w:sz="0" w:space="0" w:color="auto"/>
        <w:bottom w:val="none" w:sz="0" w:space="0" w:color="auto"/>
        <w:right w:val="none" w:sz="0" w:space="0" w:color="auto"/>
      </w:divBdr>
    </w:div>
    <w:div w:id="2027363154">
      <w:bodyDiv w:val="1"/>
      <w:marLeft w:val="0"/>
      <w:marRight w:val="0"/>
      <w:marTop w:val="0"/>
      <w:marBottom w:val="0"/>
      <w:divBdr>
        <w:top w:val="none" w:sz="0" w:space="0" w:color="auto"/>
        <w:left w:val="none" w:sz="0" w:space="0" w:color="auto"/>
        <w:bottom w:val="none" w:sz="0" w:space="0" w:color="auto"/>
        <w:right w:val="none" w:sz="0" w:space="0" w:color="auto"/>
      </w:divBdr>
    </w:div>
    <w:div w:id="2089499549">
      <w:bodyDiv w:val="1"/>
      <w:marLeft w:val="0"/>
      <w:marRight w:val="0"/>
      <w:marTop w:val="0"/>
      <w:marBottom w:val="0"/>
      <w:divBdr>
        <w:top w:val="none" w:sz="0" w:space="0" w:color="auto"/>
        <w:left w:val="none" w:sz="0" w:space="0" w:color="auto"/>
        <w:bottom w:val="none" w:sz="0" w:space="0" w:color="auto"/>
        <w:right w:val="none" w:sz="0" w:space="0" w:color="auto"/>
      </w:divBdr>
    </w:div>
    <w:div w:id="2098594493">
      <w:bodyDiv w:val="1"/>
      <w:marLeft w:val="0"/>
      <w:marRight w:val="0"/>
      <w:marTop w:val="0"/>
      <w:marBottom w:val="0"/>
      <w:divBdr>
        <w:top w:val="none" w:sz="0" w:space="0" w:color="auto"/>
        <w:left w:val="none" w:sz="0" w:space="0" w:color="auto"/>
        <w:bottom w:val="none" w:sz="0" w:space="0" w:color="auto"/>
        <w:right w:val="none" w:sz="0" w:space="0" w:color="auto"/>
      </w:divBdr>
    </w:div>
    <w:div w:id="212842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2BEE87-7733-4F18-A650-CD4A2EE6737C}"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MY"/>
        </a:p>
      </dgm:t>
    </dgm:pt>
    <dgm:pt modelId="{0D40329C-1D18-4D97-B5BD-D5CAB63E1B6B}">
      <dgm:prSet phldrT="[Text]" custT="1"/>
      <dgm:spPr/>
      <dgm:t>
        <a:bodyPr/>
        <a:lstStyle/>
        <a:p>
          <a:pPr algn="ctr"/>
          <a:r>
            <a:rPr lang="en-MY" sz="900">
              <a:latin typeface="Times New Roman" panose="02020603050405020304" pitchFamily="18" charset="0"/>
              <a:cs typeface="Times New Roman" panose="02020603050405020304" pitchFamily="18" charset="0"/>
            </a:rPr>
            <a:t>Customer satisfaction</a:t>
          </a:r>
        </a:p>
        <a:p>
          <a:pPr algn="ctr"/>
          <a:r>
            <a:rPr lang="en-US" sz="900">
              <a:latin typeface="Times New Roman" panose="02020603050405020304" pitchFamily="18" charset="0"/>
              <a:cs typeface="Times New Roman" panose="02020603050405020304" pitchFamily="18" charset="0"/>
            </a:rPr>
            <a:t>(Shukor, 2020)</a:t>
          </a:r>
          <a:endParaRPr lang="en-MY" sz="900">
            <a:latin typeface="Times New Roman" panose="02020603050405020304" pitchFamily="18" charset="0"/>
            <a:cs typeface="Times New Roman" panose="02020603050405020304" pitchFamily="18" charset="0"/>
          </a:endParaRPr>
        </a:p>
      </dgm:t>
    </dgm:pt>
    <dgm:pt modelId="{C905F62C-620A-40D0-BB86-DA288C837097}" type="parTrans" cxnId="{4E42B053-D017-4084-B227-63C519F30423}">
      <dgm:prSet/>
      <dgm:spPr/>
      <dgm:t>
        <a:bodyPr/>
        <a:lstStyle/>
        <a:p>
          <a:pPr algn="ctr"/>
          <a:endParaRPr lang="en-MY"/>
        </a:p>
      </dgm:t>
    </dgm:pt>
    <dgm:pt modelId="{ABD8DD8D-AD21-4B7E-9F4B-C767974AF1AE}" type="sibTrans" cxnId="{4E42B053-D017-4084-B227-63C519F30423}">
      <dgm:prSet/>
      <dgm:spPr/>
      <dgm:t>
        <a:bodyPr/>
        <a:lstStyle/>
        <a:p>
          <a:pPr algn="ctr"/>
          <a:endParaRPr lang="en-MY"/>
        </a:p>
      </dgm:t>
    </dgm:pt>
    <dgm:pt modelId="{B89947C3-594B-4A98-9C45-06FCF16207B1}">
      <dgm:prSet phldrT="[Text]" custT="1"/>
      <dgm:spPr/>
      <dgm:t>
        <a:bodyPr/>
        <a:lstStyle/>
        <a:p>
          <a:pPr algn="ctr"/>
          <a:r>
            <a:rPr lang="en-MY" sz="900">
              <a:latin typeface="Times New Roman" panose="02020603050405020304" pitchFamily="18" charset="0"/>
              <a:cs typeface="Times New Roman" panose="02020603050405020304" pitchFamily="18" charset="0"/>
            </a:rPr>
            <a:t>Adoption of technology</a:t>
          </a:r>
        </a:p>
        <a:p>
          <a:pPr algn="ctr"/>
          <a:r>
            <a:rPr lang="en-US" sz="900">
              <a:latin typeface="Times New Roman" panose="02020603050405020304" pitchFamily="18" charset="0"/>
              <a:cs typeface="Times New Roman" panose="02020603050405020304" pitchFamily="18" charset="0"/>
            </a:rPr>
            <a:t>Abdull Manaf &amp; Amiruddin (2019)</a:t>
          </a:r>
          <a:r>
            <a:rPr lang="en-MY" sz="900">
              <a:latin typeface="Times New Roman" panose="02020603050405020304" pitchFamily="18" charset="0"/>
              <a:cs typeface="Times New Roman" panose="02020603050405020304" pitchFamily="18" charset="0"/>
            </a:rPr>
            <a:t> </a:t>
          </a:r>
        </a:p>
      </dgm:t>
    </dgm:pt>
    <dgm:pt modelId="{D60ED46D-21BA-4A87-AAA4-565034130759}" type="parTrans" cxnId="{8F6C4938-86F9-4BA7-ACA0-5F9B4210CB4A}">
      <dgm:prSet/>
      <dgm:spPr/>
      <dgm:t>
        <a:bodyPr/>
        <a:lstStyle/>
        <a:p>
          <a:pPr algn="ctr"/>
          <a:endParaRPr lang="en-MY"/>
        </a:p>
      </dgm:t>
    </dgm:pt>
    <dgm:pt modelId="{ACB7CA0E-6FB3-457F-BCD2-0226C4BD2859}" type="sibTrans" cxnId="{8F6C4938-86F9-4BA7-ACA0-5F9B4210CB4A}">
      <dgm:prSet/>
      <dgm:spPr/>
      <dgm:t>
        <a:bodyPr/>
        <a:lstStyle/>
        <a:p>
          <a:pPr algn="ctr"/>
          <a:endParaRPr lang="en-MY"/>
        </a:p>
      </dgm:t>
    </dgm:pt>
    <dgm:pt modelId="{7C41BA41-8A73-4568-BCB9-92A54ED0B2C5}">
      <dgm:prSet phldrT="[Text]" custT="1"/>
      <dgm:spPr/>
      <dgm:t>
        <a:bodyPr/>
        <a:lstStyle/>
        <a:p>
          <a:pPr algn="ctr"/>
          <a:endParaRPr lang="en-MY" sz="900">
            <a:latin typeface="Times New Roman" panose="02020603050405020304" pitchFamily="18" charset="0"/>
            <a:cs typeface="Times New Roman" panose="02020603050405020304" pitchFamily="18" charset="0"/>
          </a:endParaRPr>
        </a:p>
        <a:p>
          <a:pPr algn="ctr"/>
          <a:r>
            <a:rPr lang="en-MY" sz="900">
              <a:latin typeface="Times New Roman" panose="02020603050405020304" pitchFamily="18" charset="0"/>
              <a:cs typeface="Times New Roman" panose="02020603050405020304" pitchFamily="18" charset="0"/>
            </a:rPr>
            <a:t>Product offered</a:t>
          </a:r>
        </a:p>
        <a:p>
          <a:pPr algn="ctr"/>
          <a:r>
            <a:rPr lang="en-US" sz="900">
              <a:latin typeface="Times New Roman" panose="02020603050405020304" pitchFamily="18" charset="0"/>
              <a:cs typeface="Times New Roman" panose="02020603050405020304" pitchFamily="18" charset="0"/>
            </a:rPr>
            <a:t>Mohamed &amp; Alhabshi (2016) </a:t>
          </a:r>
          <a:endParaRPr lang="en-MY" sz="900">
            <a:latin typeface="Times New Roman" panose="02020603050405020304" pitchFamily="18" charset="0"/>
            <a:cs typeface="Times New Roman" panose="02020603050405020304" pitchFamily="18" charset="0"/>
          </a:endParaRPr>
        </a:p>
        <a:p>
          <a:pPr algn="ctr"/>
          <a:r>
            <a:rPr lang="en-MY" sz="1000">
              <a:latin typeface="Times New Roman" panose="02020603050405020304" pitchFamily="18" charset="0"/>
              <a:cs typeface="Times New Roman" panose="02020603050405020304" pitchFamily="18" charset="0"/>
            </a:rPr>
            <a:t> </a:t>
          </a:r>
        </a:p>
      </dgm:t>
    </dgm:pt>
    <dgm:pt modelId="{98DDEDDB-7654-40F5-A5E2-101E09093E48}" type="parTrans" cxnId="{880B99EA-0A83-40E8-862C-700E2735E3EC}">
      <dgm:prSet/>
      <dgm:spPr/>
      <dgm:t>
        <a:bodyPr/>
        <a:lstStyle/>
        <a:p>
          <a:pPr algn="ctr"/>
          <a:endParaRPr lang="en-MY"/>
        </a:p>
      </dgm:t>
    </dgm:pt>
    <dgm:pt modelId="{D87E5DF6-92F8-4B73-ABE3-082421B09D96}" type="sibTrans" cxnId="{880B99EA-0A83-40E8-862C-700E2735E3EC}">
      <dgm:prSet/>
      <dgm:spPr/>
      <dgm:t>
        <a:bodyPr/>
        <a:lstStyle/>
        <a:p>
          <a:pPr algn="ctr"/>
          <a:endParaRPr lang="en-MY"/>
        </a:p>
      </dgm:t>
    </dgm:pt>
    <dgm:pt modelId="{57D44D68-AA05-41B0-88E3-3474CFD50877}">
      <dgm:prSet phldrT="[Text]" custT="1"/>
      <dgm:spPr/>
      <dgm:t>
        <a:bodyPr/>
        <a:lstStyle/>
        <a:p>
          <a:pPr algn="ctr"/>
          <a:r>
            <a:rPr lang="en-MY" sz="900">
              <a:latin typeface="Times New Roman" panose="02020603050405020304" pitchFamily="18" charset="0"/>
              <a:cs typeface="Times New Roman" panose="02020603050405020304" pitchFamily="18" charset="0"/>
            </a:rPr>
            <a:t>Consultancy</a:t>
          </a:r>
        </a:p>
        <a:p>
          <a:pPr algn="ctr"/>
          <a:r>
            <a:rPr lang="en-US" sz="900">
              <a:latin typeface="Times New Roman" panose="02020603050405020304" pitchFamily="18" charset="0"/>
              <a:cs typeface="Times New Roman" panose="02020603050405020304" pitchFamily="18" charset="0"/>
            </a:rPr>
            <a:t>Moghavvemi, Lee, &amp; Lee (2018)</a:t>
          </a:r>
          <a:r>
            <a:rPr lang="en-MY" sz="900">
              <a:latin typeface="Times New Roman" panose="02020603050405020304" pitchFamily="18" charset="0"/>
              <a:cs typeface="Times New Roman" panose="02020603050405020304" pitchFamily="18" charset="0"/>
            </a:rPr>
            <a:t> </a:t>
          </a:r>
        </a:p>
      </dgm:t>
    </dgm:pt>
    <dgm:pt modelId="{1B229CFE-67EF-40FB-BDB8-4663EFCB8BD8}" type="parTrans" cxnId="{152B2977-7245-4E58-9113-4C899C49169A}">
      <dgm:prSet/>
      <dgm:spPr/>
      <dgm:t>
        <a:bodyPr/>
        <a:lstStyle/>
        <a:p>
          <a:pPr algn="ctr"/>
          <a:endParaRPr lang="en-MY"/>
        </a:p>
      </dgm:t>
    </dgm:pt>
    <dgm:pt modelId="{1E148228-5828-49BA-A13F-F0C4C9019653}" type="sibTrans" cxnId="{152B2977-7245-4E58-9113-4C899C49169A}">
      <dgm:prSet/>
      <dgm:spPr/>
      <dgm:t>
        <a:bodyPr/>
        <a:lstStyle/>
        <a:p>
          <a:pPr algn="ctr"/>
          <a:endParaRPr lang="en-MY"/>
        </a:p>
      </dgm:t>
    </dgm:pt>
    <dgm:pt modelId="{280DBDE3-5BCD-4015-AA10-50F070832D50}" type="pres">
      <dgm:prSet presAssocID="{7C2BEE87-7733-4F18-A650-CD4A2EE6737C}" presName="diagram" presStyleCnt="0">
        <dgm:presLayoutVars>
          <dgm:chPref val="1"/>
          <dgm:dir/>
          <dgm:animOne val="branch"/>
          <dgm:animLvl val="lvl"/>
          <dgm:resizeHandles val="exact"/>
        </dgm:presLayoutVars>
      </dgm:prSet>
      <dgm:spPr/>
    </dgm:pt>
    <dgm:pt modelId="{81930751-1D74-42C4-A9A0-4F79AFE3B9E7}" type="pres">
      <dgm:prSet presAssocID="{0D40329C-1D18-4D97-B5BD-D5CAB63E1B6B}" presName="root1" presStyleCnt="0"/>
      <dgm:spPr/>
    </dgm:pt>
    <dgm:pt modelId="{B4F4D1EC-14FB-45B3-B453-CDF757D1E02E}" type="pres">
      <dgm:prSet presAssocID="{0D40329C-1D18-4D97-B5BD-D5CAB63E1B6B}" presName="LevelOneTextNode" presStyleLbl="node0" presStyleIdx="0" presStyleCnt="1" custScaleY="130970" custLinFactNeighborY="0">
        <dgm:presLayoutVars>
          <dgm:chPref val="3"/>
        </dgm:presLayoutVars>
      </dgm:prSet>
      <dgm:spPr/>
    </dgm:pt>
    <dgm:pt modelId="{3D7698B4-0DA0-4DB5-BAFD-FE0243E6ABD7}" type="pres">
      <dgm:prSet presAssocID="{0D40329C-1D18-4D97-B5BD-D5CAB63E1B6B}" presName="level2hierChild" presStyleCnt="0"/>
      <dgm:spPr/>
    </dgm:pt>
    <dgm:pt modelId="{627EDBE7-8111-40E6-9952-C8F609682339}" type="pres">
      <dgm:prSet presAssocID="{D60ED46D-21BA-4A87-AAA4-565034130759}" presName="conn2-1" presStyleLbl="parChTrans1D2" presStyleIdx="0" presStyleCnt="3"/>
      <dgm:spPr/>
    </dgm:pt>
    <dgm:pt modelId="{01FB242A-FBF7-4A26-986E-C960C4F68553}" type="pres">
      <dgm:prSet presAssocID="{D60ED46D-21BA-4A87-AAA4-565034130759}" presName="connTx" presStyleLbl="parChTrans1D2" presStyleIdx="0" presStyleCnt="3"/>
      <dgm:spPr/>
    </dgm:pt>
    <dgm:pt modelId="{5641F851-5BD0-4B7C-8C55-DD9CD1356DB5}" type="pres">
      <dgm:prSet presAssocID="{B89947C3-594B-4A98-9C45-06FCF16207B1}" presName="root2" presStyleCnt="0"/>
      <dgm:spPr/>
    </dgm:pt>
    <dgm:pt modelId="{7C0BBE22-3286-4349-BC92-A3FB5DB3AEBD}" type="pres">
      <dgm:prSet presAssocID="{B89947C3-594B-4A98-9C45-06FCF16207B1}" presName="LevelTwoTextNode" presStyleLbl="node2" presStyleIdx="0" presStyleCnt="3">
        <dgm:presLayoutVars>
          <dgm:chPref val="3"/>
        </dgm:presLayoutVars>
      </dgm:prSet>
      <dgm:spPr/>
    </dgm:pt>
    <dgm:pt modelId="{3E7B07CF-4FBA-4707-B177-31B3063E684E}" type="pres">
      <dgm:prSet presAssocID="{B89947C3-594B-4A98-9C45-06FCF16207B1}" presName="level3hierChild" presStyleCnt="0"/>
      <dgm:spPr/>
    </dgm:pt>
    <dgm:pt modelId="{FE8E36B4-2143-4A56-BDA2-4F856CCE8530}" type="pres">
      <dgm:prSet presAssocID="{98DDEDDB-7654-40F5-A5E2-101E09093E48}" presName="conn2-1" presStyleLbl="parChTrans1D2" presStyleIdx="1" presStyleCnt="3"/>
      <dgm:spPr/>
    </dgm:pt>
    <dgm:pt modelId="{96375C2A-8E66-44E1-87A8-353736064C40}" type="pres">
      <dgm:prSet presAssocID="{98DDEDDB-7654-40F5-A5E2-101E09093E48}" presName="connTx" presStyleLbl="parChTrans1D2" presStyleIdx="1" presStyleCnt="3"/>
      <dgm:spPr/>
    </dgm:pt>
    <dgm:pt modelId="{859AA019-3AE8-45F9-843C-C78DB4F20AB1}" type="pres">
      <dgm:prSet presAssocID="{7C41BA41-8A73-4568-BCB9-92A54ED0B2C5}" presName="root2" presStyleCnt="0"/>
      <dgm:spPr/>
    </dgm:pt>
    <dgm:pt modelId="{604423E1-5C73-42AC-8B2F-5A5B73A1ED48}" type="pres">
      <dgm:prSet presAssocID="{7C41BA41-8A73-4568-BCB9-92A54ED0B2C5}" presName="LevelTwoTextNode" presStyleLbl="node2" presStyleIdx="1" presStyleCnt="3">
        <dgm:presLayoutVars>
          <dgm:chPref val="3"/>
        </dgm:presLayoutVars>
      </dgm:prSet>
      <dgm:spPr/>
    </dgm:pt>
    <dgm:pt modelId="{1662CE49-3F70-4D1B-AC7A-47C8C10764AB}" type="pres">
      <dgm:prSet presAssocID="{7C41BA41-8A73-4568-BCB9-92A54ED0B2C5}" presName="level3hierChild" presStyleCnt="0"/>
      <dgm:spPr/>
    </dgm:pt>
    <dgm:pt modelId="{05225ABF-42F9-4C73-8E8D-3C20552BC9A7}" type="pres">
      <dgm:prSet presAssocID="{1B229CFE-67EF-40FB-BDB8-4663EFCB8BD8}" presName="conn2-1" presStyleLbl="parChTrans1D2" presStyleIdx="2" presStyleCnt="3"/>
      <dgm:spPr/>
    </dgm:pt>
    <dgm:pt modelId="{32827DA4-F0AF-48D0-9071-8E4098568719}" type="pres">
      <dgm:prSet presAssocID="{1B229CFE-67EF-40FB-BDB8-4663EFCB8BD8}" presName="connTx" presStyleLbl="parChTrans1D2" presStyleIdx="2" presStyleCnt="3"/>
      <dgm:spPr/>
    </dgm:pt>
    <dgm:pt modelId="{5E91DFF2-3E8F-49C1-84A4-E3776BB9DC61}" type="pres">
      <dgm:prSet presAssocID="{57D44D68-AA05-41B0-88E3-3474CFD50877}" presName="root2" presStyleCnt="0"/>
      <dgm:spPr/>
    </dgm:pt>
    <dgm:pt modelId="{747C623D-9A56-4335-9790-FE9D963E855F}" type="pres">
      <dgm:prSet presAssocID="{57D44D68-AA05-41B0-88E3-3474CFD50877}" presName="LevelTwoTextNode" presStyleLbl="node2" presStyleIdx="2" presStyleCnt="3">
        <dgm:presLayoutVars>
          <dgm:chPref val="3"/>
        </dgm:presLayoutVars>
      </dgm:prSet>
      <dgm:spPr/>
    </dgm:pt>
    <dgm:pt modelId="{B2D37C99-B08B-4C18-9B44-3E4B7315E8F2}" type="pres">
      <dgm:prSet presAssocID="{57D44D68-AA05-41B0-88E3-3474CFD50877}" presName="level3hierChild" presStyleCnt="0"/>
      <dgm:spPr/>
    </dgm:pt>
  </dgm:ptLst>
  <dgm:cxnLst>
    <dgm:cxn modelId="{0577EF0A-772F-423F-BE5C-48E51DE43705}" type="presOf" srcId="{D60ED46D-21BA-4A87-AAA4-565034130759}" destId="{627EDBE7-8111-40E6-9952-C8F609682339}" srcOrd="0" destOrd="0" presId="urn:microsoft.com/office/officeart/2005/8/layout/hierarchy2"/>
    <dgm:cxn modelId="{68445D14-F1D1-40DD-A963-BACA53E24A75}" type="presOf" srcId="{0D40329C-1D18-4D97-B5BD-D5CAB63E1B6B}" destId="{B4F4D1EC-14FB-45B3-B453-CDF757D1E02E}" srcOrd="0" destOrd="0" presId="urn:microsoft.com/office/officeart/2005/8/layout/hierarchy2"/>
    <dgm:cxn modelId="{8F6C4938-86F9-4BA7-ACA0-5F9B4210CB4A}" srcId="{0D40329C-1D18-4D97-B5BD-D5CAB63E1B6B}" destId="{B89947C3-594B-4A98-9C45-06FCF16207B1}" srcOrd="0" destOrd="0" parTransId="{D60ED46D-21BA-4A87-AAA4-565034130759}" sibTransId="{ACB7CA0E-6FB3-457F-BCD2-0226C4BD2859}"/>
    <dgm:cxn modelId="{62F29246-08BB-4B8A-8F0F-EDA87B1FF273}" type="presOf" srcId="{1B229CFE-67EF-40FB-BDB8-4663EFCB8BD8}" destId="{05225ABF-42F9-4C73-8E8D-3C20552BC9A7}" srcOrd="0" destOrd="0" presId="urn:microsoft.com/office/officeart/2005/8/layout/hierarchy2"/>
    <dgm:cxn modelId="{B0BF4E69-80F0-40D2-BACA-9CEB6A43323A}" type="presOf" srcId="{7C41BA41-8A73-4568-BCB9-92A54ED0B2C5}" destId="{604423E1-5C73-42AC-8B2F-5A5B73A1ED48}" srcOrd="0" destOrd="0" presId="urn:microsoft.com/office/officeart/2005/8/layout/hierarchy2"/>
    <dgm:cxn modelId="{4E42B053-D017-4084-B227-63C519F30423}" srcId="{7C2BEE87-7733-4F18-A650-CD4A2EE6737C}" destId="{0D40329C-1D18-4D97-B5BD-D5CAB63E1B6B}" srcOrd="0" destOrd="0" parTransId="{C905F62C-620A-40D0-BB86-DA288C837097}" sibTransId="{ABD8DD8D-AD21-4B7E-9F4B-C767974AF1AE}"/>
    <dgm:cxn modelId="{F9780B76-CF0A-4043-A435-1C62F0DD4664}" type="presOf" srcId="{B89947C3-594B-4A98-9C45-06FCF16207B1}" destId="{7C0BBE22-3286-4349-BC92-A3FB5DB3AEBD}" srcOrd="0" destOrd="0" presId="urn:microsoft.com/office/officeart/2005/8/layout/hierarchy2"/>
    <dgm:cxn modelId="{25AB6D56-B4F9-457B-9A71-E4F86F531068}" type="presOf" srcId="{98DDEDDB-7654-40F5-A5E2-101E09093E48}" destId="{FE8E36B4-2143-4A56-BDA2-4F856CCE8530}" srcOrd="0" destOrd="0" presId="urn:microsoft.com/office/officeart/2005/8/layout/hierarchy2"/>
    <dgm:cxn modelId="{152B2977-7245-4E58-9113-4C899C49169A}" srcId="{0D40329C-1D18-4D97-B5BD-D5CAB63E1B6B}" destId="{57D44D68-AA05-41B0-88E3-3474CFD50877}" srcOrd="2" destOrd="0" parTransId="{1B229CFE-67EF-40FB-BDB8-4663EFCB8BD8}" sibTransId="{1E148228-5828-49BA-A13F-F0C4C9019653}"/>
    <dgm:cxn modelId="{194EE07F-EDD0-4EA7-A598-11D081103C0F}" type="presOf" srcId="{57D44D68-AA05-41B0-88E3-3474CFD50877}" destId="{747C623D-9A56-4335-9790-FE9D963E855F}" srcOrd="0" destOrd="0" presId="urn:microsoft.com/office/officeart/2005/8/layout/hierarchy2"/>
    <dgm:cxn modelId="{D075019C-DE97-4876-9CCF-4DFEF6CE733B}" type="presOf" srcId="{1B229CFE-67EF-40FB-BDB8-4663EFCB8BD8}" destId="{32827DA4-F0AF-48D0-9071-8E4098568719}" srcOrd="1" destOrd="0" presId="urn:microsoft.com/office/officeart/2005/8/layout/hierarchy2"/>
    <dgm:cxn modelId="{880B99EA-0A83-40E8-862C-700E2735E3EC}" srcId="{0D40329C-1D18-4D97-B5BD-D5CAB63E1B6B}" destId="{7C41BA41-8A73-4568-BCB9-92A54ED0B2C5}" srcOrd="1" destOrd="0" parTransId="{98DDEDDB-7654-40F5-A5E2-101E09093E48}" sibTransId="{D87E5DF6-92F8-4B73-ABE3-082421B09D96}"/>
    <dgm:cxn modelId="{9D458FF7-CA90-486A-A5CA-B0A10CD94DAF}" type="presOf" srcId="{D60ED46D-21BA-4A87-AAA4-565034130759}" destId="{01FB242A-FBF7-4A26-986E-C960C4F68553}" srcOrd="1" destOrd="0" presId="urn:microsoft.com/office/officeart/2005/8/layout/hierarchy2"/>
    <dgm:cxn modelId="{4F9073F8-6EC7-40F8-8E69-09D473A6C588}" type="presOf" srcId="{7C2BEE87-7733-4F18-A650-CD4A2EE6737C}" destId="{280DBDE3-5BCD-4015-AA10-50F070832D50}" srcOrd="0" destOrd="0" presId="urn:microsoft.com/office/officeart/2005/8/layout/hierarchy2"/>
    <dgm:cxn modelId="{5B13F4FC-EA62-4419-B522-1BBC20B3948E}" type="presOf" srcId="{98DDEDDB-7654-40F5-A5E2-101E09093E48}" destId="{96375C2A-8E66-44E1-87A8-353736064C40}" srcOrd="1" destOrd="0" presId="urn:microsoft.com/office/officeart/2005/8/layout/hierarchy2"/>
    <dgm:cxn modelId="{776EB446-AC3A-4F6B-86A3-F52D8D887B41}" type="presParOf" srcId="{280DBDE3-5BCD-4015-AA10-50F070832D50}" destId="{81930751-1D74-42C4-A9A0-4F79AFE3B9E7}" srcOrd="0" destOrd="0" presId="urn:microsoft.com/office/officeart/2005/8/layout/hierarchy2"/>
    <dgm:cxn modelId="{25602A70-7102-4CA5-8D33-9F20D193C808}" type="presParOf" srcId="{81930751-1D74-42C4-A9A0-4F79AFE3B9E7}" destId="{B4F4D1EC-14FB-45B3-B453-CDF757D1E02E}" srcOrd="0" destOrd="0" presId="urn:microsoft.com/office/officeart/2005/8/layout/hierarchy2"/>
    <dgm:cxn modelId="{97F3D435-6C07-4313-9794-C98E67CCB3B5}" type="presParOf" srcId="{81930751-1D74-42C4-A9A0-4F79AFE3B9E7}" destId="{3D7698B4-0DA0-4DB5-BAFD-FE0243E6ABD7}" srcOrd="1" destOrd="0" presId="urn:microsoft.com/office/officeart/2005/8/layout/hierarchy2"/>
    <dgm:cxn modelId="{0FC98B18-0927-47C4-9BB0-BFF3E43A560D}" type="presParOf" srcId="{3D7698B4-0DA0-4DB5-BAFD-FE0243E6ABD7}" destId="{627EDBE7-8111-40E6-9952-C8F609682339}" srcOrd="0" destOrd="0" presId="urn:microsoft.com/office/officeart/2005/8/layout/hierarchy2"/>
    <dgm:cxn modelId="{B65DE648-C6E7-4121-AFCF-7A24847C630F}" type="presParOf" srcId="{627EDBE7-8111-40E6-9952-C8F609682339}" destId="{01FB242A-FBF7-4A26-986E-C960C4F68553}" srcOrd="0" destOrd="0" presId="urn:microsoft.com/office/officeart/2005/8/layout/hierarchy2"/>
    <dgm:cxn modelId="{6EF0BA78-C831-43AD-A2CA-00A5F11C37E0}" type="presParOf" srcId="{3D7698B4-0DA0-4DB5-BAFD-FE0243E6ABD7}" destId="{5641F851-5BD0-4B7C-8C55-DD9CD1356DB5}" srcOrd="1" destOrd="0" presId="urn:microsoft.com/office/officeart/2005/8/layout/hierarchy2"/>
    <dgm:cxn modelId="{319B8551-6AFC-426B-AF77-DA7879D3B4CC}" type="presParOf" srcId="{5641F851-5BD0-4B7C-8C55-DD9CD1356DB5}" destId="{7C0BBE22-3286-4349-BC92-A3FB5DB3AEBD}" srcOrd="0" destOrd="0" presId="urn:microsoft.com/office/officeart/2005/8/layout/hierarchy2"/>
    <dgm:cxn modelId="{4C6FEB0D-E18C-49A8-80AE-7107D47BB351}" type="presParOf" srcId="{5641F851-5BD0-4B7C-8C55-DD9CD1356DB5}" destId="{3E7B07CF-4FBA-4707-B177-31B3063E684E}" srcOrd="1" destOrd="0" presId="urn:microsoft.com/office/officeart/2005/8/layout/hierarchy2"/>
    <dgm:cxn modelId="{3C34E27D-877C-4247-80BA-6AEA00E22800}" type="presParOf" srcId="{3D7698B4-0DA0-4DB5-BAFD-FE0243E6ABD7}" destId="{FE8E36B4-2143-4A56-BDA2-4F856CCE8530}" srcOrd="2" destOrd="0" presId="urn:microsoft.com/office/officeart/2005/8/layout/hierarchy2"/>
    <dgm:cxn modelId="{A3849377-A620-4D08-A258-44204328961D}" type="presParOf" srcId="{FE8E36B4-2143-4A56-BDA2-4F856CCE8530}" destId="{96375C2A-8E66-44E1-87A8-353736064C40}" srcOrd="0" destOrd="0" presId="urn:microsoft.com/office/officeart/2005/8/layout/hierarchy2"/>
    <dgm:cxn modelId="{F2715545-4FB2-4571-B9C6-B24F82542361}" type="presParOf" srcId="{3D7698B4-0DA0-4DB5-BAFD-FE0243E6ABD7}" destId="{859AA019-3AE8-45F9-843C-C78DB4F20AB1}" srcOrd="3" destOrd="0" presId="urn:microsoft.com/office/officeart/2005/8/layout/hierarchy2"/>
    <dgm:cxn modelId="{76203F10-C3D2-4060-BF8F-A63DB67D4F24}" type="presParOf" srcId="{859AA019-3AE8-45F9-843C-C78DB4F20AB1}" destId="{604423E1-5C73-42AC-8B2F-5A5B73A1ED48}" srcOrd="0" destOrd="0" presId="urn:microsoft.com/office/officeart/2005/8/layout/hierarchy2"/>
    <dgm:cxn modelId="{FA7248D3-C63F-4F24-93C9-FA386E2CE923}" type="presParOf" srcId="{859AA019-3AE8-45F9-843C-C78DB4F20AB1}" destId="{1662CE49-3F70-4D1B-AC7A-47C8C10764AB}" srcOrd="1" destOrd="0" presId="urn:microsoft.com/office/officeart/2005/8/layout/hierarchy2"/>
    <dgm:cxn modelId="{7C9FE3DF-E994-4D3C-8536-556C2337ABC2}" type="presParOf" srcId="{3D7698B4-0DA0-4DB5-BAFD-FE0243E6ABD7}" destId="{05225ABF-42F9-4C73-8E8D-3C20552BC9A7}" srcOrd="4" destOrd="0" presId="urn:microsoft.com/office/officeart/2005/8/layout/hierarchy2"/>
    <dgm:cxn modelId="{739DD557-ACA0-4BED-A33D-E5A06C7304D0}" type="presParOf" srcId="{05225ABF-42F9-4C73-8E8D-3C20552BC9A7}" destId="{32827DA4-F0AF-48D0-9071-8E4098568719}" srcOrd="0" destOrd="0" presId="urn:microsoft.com/office/officeart/2005/8/layout/hierarchy2"/>
    <dgm:cxn modelId="{E870AB06-03E3-4978-BE0C-1536F33F2B7D}" type="presParOf" srcId="{3D7698B4-0DA0-4DB5-BAFD-FE0243E6ABD7}" destId="{5E91DFF2-3E8F-49C1-84A4-E3776BB9DC61}" srcOrd="5" destOrd="0" presId="urn:microsoft.com/office/officeart/2005/8/layout/hierarchy2"/>
    <dgm:cxn modelId="{168B13E4-9C0A-445E-835D-AF394227ADB9}" type="presParOf" srcId="{5E91DFF2-3E8F-49C1-84A4-E3776BB9DC61}" destId="{747C623D-9A56-4335-9790-FE9D963E855F}" srcOrd="0" destOrd="0" presId="urn:microsoft.com/office/officeart/2005/8/layout/hierarchy2"/>
    <dgm:cxn modelId="{1CE7FF59-B1A3-47FF-834A-0DB317F6DB2F}" type="presParOf" srcId="{5E91DFF2-3E8F-49C1-84A4-E3776BB9DC61}" destId="{B2D37C99-B08B-4C18-9B44-3E4B7315E8F2}"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4D1EC-14FB-45B3-B453-CDF757D1E02E}">
      <dsp:nvSpPr>
        <dsp:cNvPr id="0" name=""/>
        <dsp:cNvSpPr/>
      </dsp:nvSpPr>
      <dsp:spPr>
        <a:xfrm>
          <a:off x="585429" y="531494"/>
          <a:ext cx="1064717" cy="69723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MY" sz="900" kern="1200">
              <a:latin typeface="Times New Roman" panose="02020603050405020304" pitchFamily="18" charset="0"/>
              <a:cs typeface="Times New Roman" panose="02020603050405020304" pitchFamily="18" charset="0"/>
            </a:rPr>
            <a:t>Customer satisfaction</a:t>
          </a:r>
        </a:p>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(Shukor, 2020)</a:t>
          </a:r>
          <a:endParaRPr lang="en-MY" sz="900" kern="1200">
            <a:latin typeface="Times New Roman" panose="02020603050405020304" pitchFamily="18" charset="0"/>
            <a:cs typeface="Times New Roman" panose="02020603050405020304" pitchFamily="18" charset="0"/>
          </a:endParaRPr>
        </a:p>
      </dsp:txBody>
      <dsp:txXfrm>
        <a:off x="605850" y="551915"/>
        <a:ext cx="1023875" cy="656388"/>
      </dsp:txXfrm>
    </dsp:sp>
    <dsp:sp modelId="{627EDBE7-8111-40E6-9952-C8F609682339}">
      <dsp:nvSpPr>
        <dsp:cNvPr id="0" name=""/>
        <dsp:cNvSpPr/>
      </dsp:nvSpPr>
      <dsp:spPr>
        <a:xfrm rot="18289469">
          <a:off x="1490201" y="546784"/>
          <a:ext cx="745777" cy="54438"/>
        </a:xfrm>
        <a:custGeom>
          <a:avLst/>
          <a:gdLst/>
          <a:ahLst/>
          <a:cxnLst/>
          <a:rect l="0" t="0" r="0" b="0"/>
          <a:pathLst>
            <a:path>
              <a:moveTo>
                <a:pt x="0" y="27219"/>
              </a:moveTo>
              <a:lnTo>
                <a:pt x="745777" y="272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MY" sz="500" kern="1200"/>
        </a:p>
      </dsp:txBody>
      <dsp:txXfrm>
        <a:off x="1844445" y="555359"/>
        <a:ext cx="37288" cy="37288"/>
      </dsp:txXfrm>
    </dsp:sp>
    <dsp:sp modelId="{7C0BBE22-3286-4349-BC92-A3FB5DB3AEBD}">
      <dsp:nvSpPr>
        <dsp:cNvPr id="0" name=""/>
        <dsp:cNvSpPr/>
      </dsp:nvSpPr>
      <dsp:spPr>
        <a:xfrm>
          <a:off x="2076033" y="1718"/>
          <a:ext cx="1064717" cy="5323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MY" sz="900" kern="1200">
              <a:latin typeface="Times New Roman" panose="02020603050405020304" pitchFamily="18" charset="0"/>
              <a:cs typeface="Times New Roman" panose="02020603050405020304" pitchFamily="18" charset="0"/>
            </a:rPr>
            <a:t>Adoption of technology</a:t>
          </a:r>
        </a:p>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Abdull Manaf &amp; Amiruddin (2019)</a:t>
          </a:r>
          <a:r>
            <a:rPr lang="en-MY" sz="900" kern="1200">
              <a:latin typeface="Times New Roman" panose="02020603050405020304" pitchFamily="18" charset="0"/>
              <a:cs typeface="Times New Roman" panose="02020603050405020304" pitchFamily="18" charset="0"/>
            </a:rPr>
            <a:t> </a:t>
          </a:r>
        </a:p>
      </dsp:txBody>
      <dsp:txXfrm>
        <a:off x="2091625" y="17310"/>
        <a:ext cx="1033533" cy="501174"/>
      </dsp:txXfrm>
    </dsp:sp>
    <dsp:sp modelId="{FE8E36B4-2143-4A56-BDA2-4F856CCE8530}">
      <dsp:nvSpPr>
        <dsp:cNvPr id="0" name=""/>
        <dsp:cNvSpPr/>
      </dsp:nvSpPr>
      <dsp:spPr>
        <a:xfrm>
          <a:off x="1650146" y="852890"/>
          <a:ext cx="425886" cy="54438"/>
        </a:xfrm>
        <a:custGeom>
          <a:avLst/>
          <a:gdLst/>
          <a:ahLst/>
          <a:cxnLst/>
          <a:rect l="0" t="0" r="0" b="0"/>
          <a:pathLst>
            <a:path>
              <a:moveTo>
                <a:pt x="0" y="27219"/>
              </a:moveTo>
              <a:lnTo>
                <a:pt x="425886" y="272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MY" sz="500" kern="1200"/>
        </a:p>
      </dsp:txBody>
      <dsp:txXfrm>
        <a:off x="1852442" y="869462"/>
        <a:ext cx="21294" cy="21294"/>
      </dsp:txXfrm>
    </dsp:sp>
    <dsp:sp modelId="{604423E1-5C73-42AC-8B2F-5A5B73A1ED48}">
      <dsp:nvSpPr>
        <dsp:cNvPr id="0" name=""/>
        <dsp:cNvSpPr/>
      </dsp:nvSpPr>
      <dsp:spPr>
        <a:xfrm>
          <a:off x="2076033" y="613930"/>
          <a:ext cx="1064717" cy="5323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MY" sz="900" kern="1200">
            <a:latin typeface="Times New Roman" panose="02020603050405020304" pitchFamily="18" charset="0"/>
            <a:cs typeface="Times New Roman" panose="02020603050405020304" pitchFamily="18" charset="0"/>
          </a:endParaRPr>
        </a:p>
        <a:p>
          <a:pPr marL="0" lvl="0" indent="0" algn="ctr" defTabSz="400050">
            <a:lnSpc>
              <a:spcPct val="90000"/>
            </a:lnSpc>
            <a:spcBef>
              <a:spcPct val="0"/>
            </a:spcBef>
            <a:spcAft>
              <a:spcPct val="35000"/>
            </a:spcAft>
            <a:buNone/>
          </a:pPr>
          <a:r>
            <a:rPr lang="en-MY" sz="900" kern="1200">
              <a:latin typeface="Times New Roman" panose="02020603050405020304" pitchFamily="18" charset="0"/>
              <a:cs typeface="Times New Roman" panose="02020603050405020304" pitchFamily="18" charset="0"/>
            </a:rPr>
            <a:t>Product offered</a:t>
          </a:r>
        </a:p>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Mohamed &amp; Alhabshi (2016) </a:t>
          </a:r>
          <a:endParaRPr lang="en-MY" sz="900" kern="1200">
            <a:latin typeface="Times New Roman" panose="02020603050405020304" pitchFamily="18" charset="0"/>
            <a:cs typeface="Times New Roman" panose="02020603050405020304" pitchFamily="18" charset="0"/>
          </a:endParaRPr>
        </a:p>
        <a:p>
          <a:pPr marL="0" lvl="0" indent="0" algn="ctr" defTabSz="400050">
            <a:lnSpc>
              <a:spcPct val="90000"/>
            </a:lnSpc>
            <a:spcBef>
              <a:spcPct val="0"/>
            </a:spcBef>
            <a:spcAft>
              <a:spcPct val="35000"/>
            </a:spcAft>
            <a:buNone/>
          </a:pPr>
          <a:r>
            <a:rPr lang="en-MY" sz="1000" kern="1200">
              <a:latin typeface="Times New Roman" panose="02020603050405020304" pitchFamily="18" charset="0"/>
              <a:cs typeface="Times New Roman" panose="02020603050405020304" pitchFamily="18" charset="0"/>
            </a:rPr>
            <a:t> </a:t>
          </a:r>
        </a:p>
      </dsp:txBody>
      <dsp:txXfrm>
        <a:off x="2091625" y="629522"/>
        <a:ext cx="1033533" cy="501174"/>
      </dsp:txXfrm>
    </dsp:sp>
    <dsp:sp modelId="{05225ABF-42F9-4C73-8E8D-3C20552BC9A7}">
      <dsp:nvSpPr>
        <dsp:cNvPr id="0" name=""/>
        <dsp:cNvSpPr/>
      </dsp:nvSpPr>
      <dsp:spPr>
        <a:xfrm rot="3310531">
          <a:off x="1490201" y="1158996"/>
          <a:ext cx="745777" cy="54438"/>
        </a:xfrm>
        <a:custGeom>
          <a:avLst/>
          <a:gdLst/>
          <a:ahLst/>
          <a:cxnLst/>
          <a:rect l="0" t="0" r="0" b="0"/>
          <a:pathLst>
            <a:path>
              <a:moveTo>
                <a:pt x="0" y="27219"/>
              </a:moveTo>
              <a:lnTo>
                <a:pt x="745777" y="272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MY" sz="500" kern="1200"/>
        </a:p>
      </dsp:txBody>
      <dsp:txXfrm>
        <a:off x="1844445" y="1167571"/>
        <a:ext cx="37288" cy="37288"/>
      </dsp:txXfrm>
    </dsp:sp>
    <dsp:sp modelId="{747C623D-9A56-4335-9790-FE9D963E855F}">
      <dsp:nvSpPr>
        <dsp:cNvPr id="0" name=""/>
        <dsp:cNvSpPr/>
      </dsp:nvSpPr>
      <dsp:spPr>
        <a:xfrm>
          <a:off x="2076033" y="1226143"/>
          <a:ext cx="1064717" cy="5323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MY" sz="900" kern="1200">
              <a:latin typeface="Times New Roman" panose="02020603050405020304" pitchFamily="18" charset="0"/>
              <a:cs typeface="Times New Roman" panose="02020603050405020304" pitchFamily="18" charset="0"/>
            </a:rPr>
            <a:t>Consultancy</a:t>
          </a:r>
        </a:p>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Moghavvemi, Lee, &amp; Lee (2018)</a:t>
          </a:r>
          <a:r>
            <a:rPr lang="en-MY" sz="900" kern="1200">
              <a:latin typeface="Times New Roman" panose="02020603050405020304" pitchFamily="18" charset="0"/>
              <a:cs typeface="Times New Roman" panose="02020603050405020304" pitchFamily="18" charset="0"/>
            </a:rPr>
            <a:t> </a:t>
          </a:r>
        </a:p>
      </dsp:txBody>
      <dsp:txXfrm>
        <a:off x="2091625" y="1241735"/>
        <a:ext cx="1033533" cy="5011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39AB-2665-428E-9978-276D4453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13711</Words>
  <Characters>78154</Characters>
  <Application>Microsoft Office Word</Application>
  <DocSecurity>0</DocSecurity>
  <Lines>651</Lines>
  <Paragraphs>183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91682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DELL</cp:lastModifiedBy>
  <cp:revision>8</cp:revision>
  <cp:lastPrinted>2020-10-07T04:46:00Z</cp:lastPrinted>
  <dcterms:created xsi:type="dcterms:W3CDTF">2020-10-07T04:33:00Z</dcterms:created>
  <dcterms:modified xsi:type="dcterms:W3CDTF">2020-10-07T05:09:00Z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c54fef53-223e-3732-85dd-ffef3aa23267</vt:lpwstr>
  </property>
  <property fmtid="{D5CDD505-2E9C-101B-9397-08002B2CF9AE}" pid="4" name="Mendeley Citation Style_1">
    <vt:lpwstr>http://www.zotero.org/styles/apa</vt:lpwstr>
  </property>
</Properties>
</file>